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rPr>
          <w:b w:val="1"/>
          <w:sz w:val="22"/>
          <w:szCs w:val="22"/>
          <w:u w:val="single"/>
          <w:rtl w:val="0"/>
        </w:rPr>
        <w:t xml:space="preserve">Theatre 101 - Idaho High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Instructor: Teresa Focarile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Email: teresafocarile@highschool.edu</w:t>
      </w:r>
    </w:p>
    <w:p w:rsidR="00000000" w:rsidDel="00000000" w:rsidP="00000000" w:rsidRDefault="00000000" w:rsidRPr="00000000" w14:paraId="00000003">
      <w:pPr>
        <w:pStyle w:val="Heading3"/>
        <w:pBdr>
          <w:top w:space="0" w:sz="0" w:val="nil"/>
          <w:left w:space="0" w:sz="0" w:val="nil"/>
          <w:bottom w:space="0" w:sz="0" w:val="nil"/>
          <w:right w:space="0" w:sz="0" w:val="nil"/>
          <w:between w:space="0" w:sz="0" w:val="nil"/>
        </w:pBdr>
        <w:shd w:fill="auto" w:val="clear"/>
        <w:contextualSpacing w:val="0"/>
        <w:jc w:val="left"/>
        <w:rPr>
          <w:b w:val="0"/>
          <w:sz w:val="22"/>
          <w:szCs w:val="22"/>
        </w:rPr>
      </w:pPr>
      <w:r w:rsidDel="00000000" w:rsidR="00000000" w:rsidRPr="00000000">
        <w:rPr>
          <w:b w:val="0"/>
          <w:sz w:val="22"/>
          <w:szCs w:val="22"/>
          <w:rtl w:val="0"/>
        </w:rPr>
        <w:t xml:space="preserve">Phone: 860-459-5704</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rtl w:val="0"/>
        </w:rPr>
        <w:t xml:space="preserve">Text:</w:t>
      </w:r>
      <w:r w:rsidDel="00000000" w:rsidR="00000000" w:rsidRPr="00000000">
        <w:rPr>
          <w:sz w:val="22"/>
          <w:szCs w:val="22"/>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Gainor, J. Ellen, Stanton B. Garner, Jr., Martin Puchner, eds. </w:t>
      </w:r>
      <w:r w:rsidDel="00000000" w:rsidR="00000000" w:rsidRPr="00000000">
        <w:rPr>
          <w:i w:val="1"/>
          <w:sz w:val="22"/>
          <w:szCs w:val="22"/>
          <w:rtl w:val="0"/>
        </w:rPr>
        <w:t xml:space="preserve">The Norton Anthology of Drama (Vol. I and II)</w:t>
      </w:r>
      <w:r w:rsidDel="00000000" w:rsidR="00000000" w:rsidRPr="00000000">
        <w:rPr>
          <w:sz w:val="22"/>
          <w:szCs w:val="22"/>
          <w:rtl w:val="0"/>
        </w:rPr>
        <w:t xml:space="preserve">. Second Ed. New York: W.W. Norton and Company, 2013. Print.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Course Objectives: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Boise State’s Foundational Studies Program provides undergraduates with a broad-based education that spans the entire university experience.  THEA 101: Introduction to Theatre satisfies three units of the Disciplinary Lens-Visual and Performing Arts (DL-VPA) requirement.  It supports the following University Learning Outcomes, along with a variety of other course-specific goals: Apply knowledge and methods characteristic of the visual and performing arts to explain and appreciate the significance of aesthetic products and creative activities.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Assignments and activities in this course will include: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Quizzes </w:t>
        <w:tab/>
        <w:tab/>
        <w:tab/>
        <w:t xml:space="preserve"> </w:t>
        <w:tab/>
        <w:tab/>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Writing Assignments </w:t>
        <w:tab/>
        <w:t xml:space="preserve"> </w:t>
        <w:tab/>
        <w:tab/>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Production Concept</w:t>
        <w:tab/>
        <w:tab/>
        <w:tab/>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Readings of plays</w:t>
        <w:tab/>
        <w:tab/>
        <w:tab/>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In Class Activities</w:t>
        <w:tab/>
        <w:tab/>
        <w:tab/>
        <w:tab/>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ab/>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92.72727272727275" w:lineRule="auto"/>
        <w:contextualSpacing w:val="0"/>
        <w:jc w:val="both"/>
        <w:rPr>
          <w:sz w:val="22"/>
          <w:szCs w:val="22"/>
        </w:rPr>
      </w:pPr>
      <w:r w:rsidDel="00000000" w:rsidR="00000000" w:rsidRPr="00000000">
        <w:rPr>
          <w:b w:val="1"/>
          <w:sz w:val="22"/>
          <w:szCs w:val="22"/>
          <w:rtl w:val="0"/>
        </w:rPr>
        <w:t xml:space="preserve">Grading: </w:t>
      </w:r>
      <w:r w:rsidDel="00000000" w:rsidR="00000000" w:rsidRPr="00000000">
        <w:rPr>
          <w:sz w:val="22"/>
          <w:szCs w:val="22"/>
          <w:rtl w:val="0"/>
        </w:rPr>
        <w:t xml:space="preserve">Grades will be assigned according to the following scale: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A+ </w:t>
        <w:tab/>
        <w:t xml:space="preserve">100 – 98.5</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A   </w:t>
        <w:tab/>
        <w:t xml:space="preserve">98.4 – 93.5</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A-</w:t>
      </w:r>
      <w:r w:rsidDel="00000000" w:rsidR="00000000" w:rsidRPr="00000000">
        <w:rPr>
          <w:sz w:val="14"/>
          <w:szCs w:val="14"/>
          <w:rtl w:val="0"/>
        </w:rPr>
        <w:t xml:space="preserve">    </w:t>
        <w:tab/>
      </w:r>
      <w:r w:rsidDel="00000000" w:rsidR="00000000" w:rsidRPr="00000000">
        <w:rPr>
          <w:sz w:val="22"/>
          <w:szCs w:val="22"/>
          <w:rtl w:val="0"/>
        </w:rPr>
        <w:t xml:space="preserve">93.4 – 89.5</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B+  </w:t>
        <w:tab/>
        <w:t xml:space="preserve">89.4 – 87.5</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B</w:t>
        <w:tab/>
        <w:t xml:space="preserve">87.4 – 83.5</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B-</w:t>
      </w:r>
      <w:r w:rsidDel="00000000" w:rsidR="00000000" w:rsidRPr="00000000">
        <w:rPr>
          <w:sz w:val="14"/>
          <w:szCs w:val="14"/>
          <w:rtl w:val="0"/>
        </w:rPr>
        <w:t xml:space="preserve"> </w:t>
        <w:tab/>
      </w:r>
      <w:r w:rsidDel="00000000" w:rsidR="00000000" w:rsidRPr="00000000">
        <w:rPr>
          <w:sz w:val="22"/>
          <w:szCs w:val="22"/>
          <w:rtl w:val="0"/>
        </w:rPr>
        <w:t xml:space="preserve">83.4 – 79.5</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C+  </w:t>
        <w:tab/>
        <w:t xml:space="preserve">79.4 – 77.5  </w:t>
        <w:tab/>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C</w:t>
        <w:tab/>
        <w:t xml:space="preserve">77.4 – 73.5</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C-</w:t>
      </w:r>
      <w:r w:rsidDel="00000000" w:rsidR="00000000" w:rsidRPr="00000000">
        <w:rPr>
          <w:sz w:val="14"/>
          <w:szCs w:val="14"/>
          <w:rtl w:val="0"/>
        </w:rPr>
        <w:t xml:space="preserve"> </w:t>
        <w:tab/>
      </w:r>
      <w:r w:rsidDel="00000000" w:rsidR="00000000" w:rsidRPr="00000000">
        <w:rPr>
          <w:sz w:val="22"/>
          <w:szCs w:val="22"/>
          <w:rtl w:val="0"/>
        </w:rPr>
        <w:t xml:space="preserve">73.4 – 69.5</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D+  </w:t>
        <w:tab/>
        <w:t xml:space="preserve">69.4 – 65.5</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D   </w:t>
        <w:tab/>
        <w:t xml:space="preserve">65.4 – 59.5</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sz w:val="22"/>
          <w:szCs w:val="22"/>
        </w:rPr>
      </w:pPr>
      <w:r w:rsidDel="00000000" w:rsidR="00000000" w:rsidRPr="00000000">
        <w:rPr>
          <w:sz w:val="22"/>
          <w:szCs w:val="22"/>
          <w:rtl w:val="0"/>
        </w:rPr>
        <w:t xml:space="preserve">F</w:t>
        <w:tab/>
        <w:t xml:space="preserve">Below 59.5</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Code of Conduct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color w:val="1155cc"/>
          <w:sz w:val="22"/>
          <w:szCs w:val="22"/>
          <w:u w:val="single"/>
        </w:rPr>
      </w:pPr>
      <w:r w:rsidDel="00000000" w:rsidR="00000000" w:rsidRPr="00000000">
        <w:rPr>
          <w:sz w:val="22"/>
          <w:szCs w:val="22"/>
          <w:rtl w:val="0"/>
        </w:rPr>
        <w:t xml:space="preserve">The Boise State Student Conduct Code (SCC) defines plagiarism as the misrepresentation of someone else’s work as one’s own. That includes using the words or ideas of a writer without proper acknowledgement or using the academic work of another student while presenting it as original. The Boise State SCC defines cheating as including any action where an individual or group either carries out or attempts to carry out dishonest work and/or where an individual or group either assists or attempts to assist an individual or group to carry out dishonest work. The Code of Conduct is found at: </w:t>
      </w:r>
      <w:hyperlink r:id="rId6">
        <w:r w:rsidDel="00000000" w:rsidR="00000000" w:rsidRPr="00000000">
          <w:rPr>
            <w:sz w:val="22"/>
            <w:szCs w:val="22"/>
            <w:rtl w:val="0"/>
          </w:rPr>
          <w:t xml:space="preserve"> </w:t>
        </w:r>
      </w:hyperlink>
      <w:r w:rsidDel="00000000" w:rsidR="00000000" w:rsidRPr="00000000">
        <w:fldChar w:fldCharType="begin"/>
        <w:instrText xml:space="preserve"> HYPERLINK "http://deanofstudents.boisestate.edu/student-code-of-conduct/" </w:instrText>
        <w:fldChar w:fldCharType="separate"/>
      </w:r>
      <w:r w:rsidDel="00000000" w:rsidR="00000000" w:rsidRPr="00000000">
        <w:rPr>
          <w:color w:val="1155cc"/>
          <w:sz w:val="22"/>
          <w:szCs w:val="22"/>
          <w:u w:val="single"/>
          <w:rtl w:val="0"/>
        </w:rPr>
        <w:t xml:space="preserve">http://deanofstudents.boisestate.edu/student-code-of-conduct/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br w:type="page"/>
      </w:r>
      <w:r w:rsidDel="00000000" w:rsidR="00000000" w:rsidRPr="00000000">
        <w:rPr>
          <w:b w:val="1"/>
          <w:sz w:val="22"/>
          <w:szCs w:val="22"/>
          <w:rtl w:val="0"/>
        </w:rPr>
        <w:t xml:space="preserve">Course Schedule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Unit 1</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Weeks 1-3</w:t>
        <w:tab/>
        <w:tab/>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Topic: What is Theatre?</w:t>
        <w:tab/>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Learning Outcomes: At the end of this Unit, students will be able to</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Identify differences between theatre and other forms of art</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List possible reasons for the development of theatre</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Explain the differences and similarities between theatre and ritual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Unit 2</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Weeks 4-8</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Topic: The Jobs of Theatre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Learning Outcomes: At the end of this Unit, students will be able to</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List the major theatrical jobs and their responsibilities</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Explain how the various theatre artists work together to create theatre</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Describe the process for developing theatrical designs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Unit 3</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Weeks 9-12</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Topic: Historical Theatre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Learning Outcomes: At the end of this Unit, students will be able to</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Evaluate the structure of famous plays such as </w:t>
      </w:r>
      <w:r w:rsidDel="00000000" w:rsidR="00000000" w:rsidRPr="00000000">
        <w:rPr>
          <w:i w:val="1"/>
          <w:sz w:val="22"/>
          <w:szCs w:val="22"/>
          <w:rtl w:val="0"/>
        </w:rPr>
        <w:t xml:space="preserve">Oedipus </w:t>
      </w:r>
      <w:r w:rsidDel="00000000" w:rsidR="00000000" w:rsidRPr="00000000">
        <w:rPr>
          <w:sz w:val="22"/>
          <w:szCs w:val="22"/>
          <w:rtl w:val="0"/>
        </w:rPr>
        <w:t xml:space="preserve">and </w:t>
      </w:r>
      <w:r w:rsidDel="00000000" w:rsidR="00000000" w:rsidRPr="00000000">
        <w:rPr>
          <w:i w:val="1"/>
          <w:sz w:val="22"/>
          <w:szCs w:val="22"/>
          <w:rtl w:val="0"/>
        </w:rPr>
        <w:t xml:space="preserve">Hamlet</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Explain how the historical context of these plays affected their content and style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Evaluate the effectiveness of design choices in various productions of plays read in class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Unit 4</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Weeks 12-15</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Topic: Modern Theatre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Learning Outcomes: At the end of this Unit, students will be able to</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Evaluate the structure of famous plays such as </w:t>
      </w:r>
      <w:r w:rsidDel="00000000" w:rsidR="00000000" w:rsidRPr="00000000">
        <w:rPr>
          <w:i w:val="1"/>
          <w:sz w:val="22"/>
          <w:szCs w:val="22"/>
          <w:rtl w:val="0"/>
        </w:rPr>
        <w:t xml:space="preserve">Death of a Salesman </w:t>
      </w:r>
      <w:r w:rsidDel="00000000" w:rsidR="00000000" w:rsidRPr="00000000">
        <w:rPr>
          <w:sz w:val="22"/>
          <w:szCs w:val="22"/>
          <w:rtl w:val="0"/>
        </w:rPr>
        <w:t xml:space="preserve">and </w:t>
      </w:r>
      <w:r w:rsidDel="00000000" w:rsidR="00000000" w:rsidRPr="00000000">
        <w:rPr>
          <w:i w:val="1"/>
          <w:sz w:val="22"/>
          <w:szCs w:val="22"/>
          <w:rtl w:val="0"/>
        </w:rPr>
        <w:t xml:space="preserve">Waiting for Godot</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Explain how the historical context of these plays affected their content and style</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Evaluate the effectiveness of design choices in various productions of plays read in class</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630" w:hanging="270"/>
        <w:contextualSpacing w:val="1"/>
        <w:rPr>
          <w:sz w:val="22"/>
          <w:szCs w:val="22"/>
        </w:rPr>
      </w:pPr>
      <w:r w:rsidDel="00000000" w:rsidR="00000000" w:rsidRPr="00000000">
        <w:rPr>
          <w:sz w:val="22"/>
          <w:szCs w:val="22"/>
          <w:rtl w:val="0"/>
        </w:rPr>
        <w:t xml:space="preserve">Discuss how modern theatre relates to their experiences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sectPr>
      <w:headerReference r:id="rId7" w:type="default"/>
      <w:foot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ind w:left="1440" w:firstLine="720"/>
      <w:contextualSpacing w:val="0"/>
      <w:jc w:val="center"/>
    </w:pPr>
    <w:rPr>
      <w:rFonts w:ascii="Times New Roman" w:cs="Times New Roman" w:eastAsia="Times New Roman" w:hAnsi="Times New Roman"/>
      <w:b w:val="0"/>
      <w:sz w:val="24"/>
      <w:szCs w:val="24"/>
    </w:rPr>
  </w:style>
  <w:style w:type="paragraph" w:styleId="Heading3">
    <w:name w:val="heading 3"/>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rPr>
  </w:style>
  <w:style w:type="paragraph" w:styleId="Heading6">
    <w:name w:val="heading 6"/>
    <w:basedOn w:val="Normal"/>
    <w:next w:val="Normal"/>
    <w:pPr>
      <w:keepNext w:val="1"/>
      <w:keepLines w:val="1"/>
      <w:spacing w:after="0" w:before="0" w:line="240" w:lineRule="auto"/>
      <w:contextualSpacing w:val="0"/>
    </w:pPr>
    <w:rPr>
      <w:rFonts w:ascii="Times New Roman" w:cs="Times New Roman" w:eastAsia="Times New Roman" w:hAnsi="Times New Roman"/>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eanofstudents.boisestate.edu/student-code-of-conduct/"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