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200E40" w14:textId="77777777" w:rsidR="001C5F45" w:rsidRDefault="001C5F45">
      <w:pPr>
        <w:pStyle w:val="Normal1"/>
      </w:pPr>
      <w:bookmarkStart w:id="0" w:name="_GoBack"/>
      <w:bookmarkEnd w:id="0"/>
    </w:p>
    <w:p w14:paraId="0FCF981A" w14:textId="77777777" w:rsidR="001C5F45" w:rsidRDefault="001C5F45">
      <w:pPr>
        <w:pStyle w:val="Normal1"/>
      </w:pPr>
    </w:p>
    <w:p w14:paraId="2A0ADD23" w14:textId="77777777" w:rsidR="001C5F45" w:rsidRDefault="001C5F45">
      <w:pPr>
        <w:pStyle w:val="Normal1"/>
      </w:pPr>
    </w:p>
    <w:p w14:paraId="7DD24A53" w14:textId="77777777" w:rsidR="001C5F45" w:rsidRDefault="001C5F45">
      <w:pPr>
        <w:pStyle w:val="Normal1"/>
      </w:pPr>
    </w:p>
    <w:p w14:paraId="077A3E5A" w14:textId="77777777" w:rsidR="001C5F45" w:rsidRDefault="001C5F45">
      <w:pPr>
        <w:pStyle w:val="Normal1"/>
      </w:pPr>
    </w:p>
    <w:p w14:paraId="77B6C142" w14:textId="77777777" w:rsidR="001C5F45" w:rsidRDefault="001C5F45">
      <w:pPr>
        <w:pStyle w:val="Normal1"/>
        <w:jc w:val="center"/>
      </w:pPr>
    </w:p>
    <w:p w14:paraId="3920F484" w14:textId="77777777" w:rsidR="001C5F45" w:rsidRDefault="001C5F45">
      <w:pPr>
        <w:pStyle w:val="Normal1"/>
        <w:jc w:val="center"/>
      </w:pPr>
    </w:p>
    <w:p w14:paraId="40514964" w14:textId="77777777" w:rsidR="001C5F45" w:rsidRDefault="00006AD8">
      <w:pPr>
        <w:pStyle w:val="Normal1"/>
        <w:jc w:val="center"/>
      </w:pPr>
      <w:hyperlink r:id="rId7">
        <w:r w:rsidR="00BA7F7E">
          <w:rPr>
            <w:color w:val="1155CC"/>
            <w:u w:val="single"/>
          </w:rPr>
          <w:t>http://www.slu.edu/1818</w:t>
        </w:r>
      </w:hyperlink>
    </w:p>
    <w:p w14:paraId="09794837" w14:textId="77777777" w:rsidR="001C5F45" w:rsidRDefault="001C5F45">
      <w:pPr>
        <w:pStyle w:val="Normal1"/>
      </w:pPr>
    </w:p>
    <w:p w14:paraId="0CD41304" w14:textId="6A27CC9A" w:rsidR="001C5F45" w:rsidRDefault="00590483">
      <w:pPr>
        <w:pStyle w:val="Normal1"/>
        <w:rPr>
          <w:b/>
          <w:sz w:val="28"/>
          <w:szCs w:val="28"/>
        </w:rPr>
      </w:pPr>
      <w:r>
        <w:rPr>
          <w:b/>
          <w:sz w:val="28"/>
          <w:szCs w:val="28"/>
        </w:rPr>
        <w:t>ENGL 19</w:t>
      </w:r>
      <w:r w:rsidR="00672BC9">
        <w:rPr>
          <w:b/>
          <w:sz w:val="28"/>
          <w:szCs w:val="28"/>
        </w:rPr>
        <w:t xml:space="preserve">00 - </w:t>
      </w:r>
      <w:r>
        <w:rPr>
          <w:b/>
          <w:sz w:val="28"/>
          <w:szCs w:val="28"/>
        </w:rPr>
        <w:t>Advanced Strategies of Rhetoric and Research</w:t>
      </w:r>
    </w:p>
    <w:p w14:paraId="3EEA3A4C" w14:textId="77777777" w:rsidR="001C5F45" w:rsidRDefault="00BA7F7E">
      <w:pPr>
        <w:pStyle w:val="Normal1"/>
      </w:pPr>
      <w:r>
        <w:t xml:space="preserve"> </w:t>
      </w:r>
    </w:p>
    <w:p w14:paraId="3ACB5824" w14:textId="77777777" w:rsidR="001C5F45" w:rsidRDefault="00672BC9">
      <w:pPr>
        <w:pStyle w:val="Normal1"/>
      </w:pPr>
      <w:r>
        <w:t xml:space="preserve">Hillsboro High School </w:t>
      </w:r>
    </w:p>
    <w:p w14:paraId="26013173" w14:textId="6E535DC6" w:rsidR="001C5F45" w:rsidRDefault="00590483">
      <w:pPr>
        <w:pStyle w:val="Normal1"/>
      </w:pPr>
      <w:r>
        <w:t>English 102</w:t>
      </w:r>
    </w:p>
    <w:p w14:paraId="3094F85E" w14:textId="49CC53F5" w:rsidR="001C5F45" w:rsidRDefault="00BA7F7E">
      <w:pPr>
        <w:pStyle w:val="Normal1"/>
        <w:rPr>
          <w:b/>
          <w:sz w:val="28"/>
          <w:szCs w:val="28"/>
        </w:rPr>
      </w:pPr>
      <w:r>
        <w:t xml:space="preserve"> </w:t>
      </w:r>
    </w:p>
    <w:p w14:paraId="5E090763" w14:textId="77777777" w:rsidR="001C5F45" w:rsidRDefault="00BA7F7E">
      <w:pPr>
        <w:pStyle w:val="Normal1"/>
        <w:jc w:val="center"/>
        <w:rPr>
          <w:b/>
          <w:sz w:val="28"/>
          <w:szCs w:val="28"/>
        </w:rPr>
      </w:pPr>
      <w:r>
        <w:rPr>
          <w:b/>
          <w:sz w:val="28"/>
          <w:szCs w:val="28"/>
        </w:rPr>
        <w:t>Course Syllabus</w:t>
      </w:r>
    </w:p>
    <w:p w14:paraId="1B6D479F" w14:textId="77777777" w:rsidR="001C5F45" w:rsidRDefault="001C5F45">
      <w:pPr>
        <w:pStyle w:val="Normal1"/>
        <w:rPr>
          <w:b/>
        </w:rPr>
      </w:pPr>
    </w:p>
    <w:p w14:paraId="4A614C65" w14:textId="1A4AA427" w:rsidR="001C5F45" w:rsidRDefault="00BA7F7E">
      <w:pPr>
        <w:pStyle w:val="Normal1"/>
      </w:pPr>
      <w:r>
        <w:rPr>
          <w:b/>
        </w:rPr>
        <w:t>Semester:</w:t>
      </w:r>
      <w:r>
        <w:rPr>
          <w:b/>
        </w:rPr>
        <w:tab/>
      </w:r>
      <w:r>
        <w:rPr>
          <w:b/>
        </w:rPr>
        <w:tab/>
      </w:r>
      <w:r>
        <w:rPr>
          <w:b/>
        </w:rPr>
        <w:tab/>
      </w:r>
      <w:r>
        <w:rPr>
          <w:b/>
        </w:rPr>
        <w:tab/>
      </w:r>
      <w:r w:rsidR="00590483">
        <w:rPr>
          <w:b/>
        </w:rPr>
        <w:t>Spring</w:t>
      </w:r>
      <w:r w:rsidR="00672BC9">
        <w:rPr>
          <w:b/>
        </w:rPr>
        <w:t xml:space="preserve"> 2017</w:t>
      </w:r>
      <w:r w:rsidR="00590483">
        <w:rPr>
          <w:b/>
        </w:rPr>
        <w:t>-18</w:t>
      </w:r>
    </w:p>
    <w:p w14:paraId="11BC89EC" w14:textId="77777777" w:rsidR="001C5F45" w:rsidRDefault="00BA7F7E">
      <w:pPr>
        <w:pStyle w:val="Normal1"/>
      </w:pPr>
      <w:r>
        <w:t xml:space="preserve"> </w:t>
      </w:r>
    </w:p>
    <w:p w14:paraId="0903E44D" w14:textId="77777777" w:rsidR="001C5F45" w:rsidRDefault="00BA7F7E">
      <w:pPr>
        <w:pStyle w:val="Normal1"/>
      </w:pPr>
      <w:r>
        <w:t xml:space="preserve"> </w:t>
      </w:r>
    </w:p>
    <w:p w14:paraId="755A0EF9" w14:textId="77777777" w:rsidR="001C5F45" w:rsidRDefault="00BA7F7E">
      <w:pPr>
        <w:pStyle w:val="Normal1"/>
      </w:pPr>
      <w:r>
        <w:rPr>
          <w:b/>
        </w:rPr>
        <w:t>Instructor</w:t>
      </w:r>
      <w:r>
        <w:t xml:space="preserve">: </w:t>
      </w:r>
      <w:r>
        <w:tab/>
      </w:r>
      <w:r>
        <w:tab/>
      </w:r>
      <w:r>
        <w:tab/>
      </w:r>
      <w:r>
        <w:tab/>
      </w:r>
      <w:r w:rsidR="00672BC9">
        <w:t>Elizabeth Gonzalez</w:t>
      </w:r>
      <w:r>
        <w:t xml:space="preserve">  </w:t>
      </w:r>
      <w:r>
        <w:tab/>
      </w:r>
    </w:p>
    <w:p w14:paraId="1AFD5EB8" w14:textId="77777777" w:rsidR="001C5F45" w:rsidRDefault="00BA7F7E">
      <w:pPr>
        <w:pStyle w:val="Normal1"/>
      </w:pPr>
      <w:r>
        <w:t xml:space="preserve"> </w:t>
      </w:r>
    </w:p>
    <w:p w14:paraId="052780DB" w14:textId="77777777" w:rsidR="001C5F45" w:rsidRDefault="00BA7F7E">
      <w:pPr>
        <w:pStyle w:val="Normal1"/>
      </w:pPr>
      <w:r>
        <w:rPr>
          <w:b/>
        </w:rPr>
        <w:t>Contact Information</w:t>
      </w:r>
      <w:r w:rsidR="00672BC9">
        <w:t xml:space="preserve">:                     </w:t>
      </w:r>
    </w:p>
    <w:p w14:paraId="5786F406" w14:textId="5E087481" w:rsidR="001C5F45" w:rsidRDefault="00BA7F7E">
      <w:pPr>
        <w:pStyle w:val="Normal1"/>
      </w:pPr>
      <w:r>
        <w:t xml:space="preserve">                                                        </w:t>
      </w:r>
      <w:r>
        <w:tab/>
      </w:r>
      <w:r w:rsidR="00672BC9">
        <w:t>bgonzalez@hillsboroschools.net</w:t>
      </w:r>
    </w:p>
    <w:p w14:paraId="6F4C794C" w14:textId="77777777" w:rsidR="001C5F45" w:rsidRDefault="00BA7F7E">
      <w:pPr>
        <w:pStyle w:val="Normal1"/>
      </w:pPr>
      <w:r>
        <w:t xml:space="preserve">                                                        </w:t>
      </w:r>
      <w:r>
        <w:tab/>
      </w:r>
      <w:r w:rsidR="00672BC9">
        <w:t>(217) 532-2841</w:t>
      </w:r>
    </w:p>
    <w:p w14:paraId="63D640C2" w14:textId="77777777" w:rsidR="001C5F45" w:rsidRDefault="00BA7F7E">
      <w:pPr>
        <w:pStyle w:val="Normal1"/>
      </w:pPr>
      <w:r>
        <w:t xml:space="preserve">                                                        </w:t>
      </w:r>
      <w:r>
        <w:tab/>
      </w:r>
      <w:r w:rsidR="00672BC9">
        <w:t>Monday-Friday</w:t>
      </w:r>
    </w:p>
    <w:p w14:paraId="2D7F3EE6" w14:textId="77777777" w:rsidR="001C5F45" w:rsidRDefault="00BA7F7E">
      <w:pPr>
        <w:pStyle w:val="Normal1"/>
      </w:pPr>
      <w:r>
        <w:t xml:space="preserve"> </w:t>
      </w:r>
    </w:p>
    <w:p w14:paraId="059CD107" w14:textId="77777777" w:rsidR="001C5F45" w:rsidRDefault="00BA7F7E">
      <w:pPr>
        <w:pStyle w:val="Normal1"/>
      </w:pPr>
      <w:r>
        <w:rPr>
          <w:b/>
        </w:rPr>
        <w:t>Text/Resources Information</w:t>
      </w:r>
      <w:r>
        <w:t>:</w:t>
      </w:r>
    </w:p>
    <w:p w14:paraId="6C0BBA5B" w14:textId="10CC796D" w:rsidR="001C5F45" w:rsidRPr="00672BC9" w:rsidRDefault="00672BC9">
      <w:pPr>
        <w:pStyle w:val="Normal1"/>
      </w:pPr>
      <w:r>
        <w:t xml:space="preserve">Cohen, </w:t>
      </w:r>
      <w:r>
        <w:rPr>
          <w:i/>
        </w:rPr>
        <w:t xml:space="preserve">50 Essays: A Portable Anthology </w:t>
      </w:r>
      <w:r>
        <w:t>(4</w:t>
      </w:r>
      <w:r w:rsidRPr="00672BC9">
        <w:rPr>
          <w:vertAlign w:val="superscript"/>
        </w:rPr>
        <w:t>th</w:t>
      </w:r>
      <w:r>
        <w:t xml:space="preserve"> Ed.)</w:t>
      </w:r>
    </w:p>
    <w:p w14:paraId="18F91379" w14:textId="77777777" w:rsidR="00672BC9" w:rsidRDefault="00672BC9">
      <w:pPr>
        <w:pStyle w:val="Normal1"/>
      </w:pPr>
      <w:r>
        <w:t xml:space="preserve">Ede, </w:t>
      </w:r>
      <w:r>
        <w:rPr>
          <w:i/>
        </w:rPr>
        <w:t xml:space="preserve">The Academic Writer </w:t>
      </w:r>
      <w:r>
        <w:t>(3</w:t>
      </w:r>
      <w:r w:rsidRPr="00672BC9">
        <w:rPr>
          <w:vertAlign w:val="superscript"/>
        </w:rPr>
        <w:t>rd</w:t>
      </w:r>
      <w:r>
        <w:t xml:space="preserve"> Ed.)</w:t>
      </w:r>
    </w:p>
    <w:p w14:paraId="00F50727" w14:textId="6A7B0A7B" w:rsidR="00672BC9" w:rsidRDefault="00672BC9">
      <w:pPr>
        <w:pStyle w:val="Normal1"/>
      </w:pPr>
      <w:r>
        <w:t xml:space="preserve">Ramage, Bean, and Johnson, </w:t>
      </w:r>
      <w:r w:rsidRPr="00672BC9">
        <w:rPr>
          <w:i/>
        </w:rPr>
        <w:t>Writing Arguments: A Rhetoric with Readings</w:t>
      </w:r>
      <w:r>
        <w:t xml:space="preserve"> (Concise 6</w:t>
      </w:r>
      <w:r w:rsidRPr="00672BC9">
        <w:rPr>
          <w:vertAlign w:val="superscript"/>
        </w:rPr>
        <w:t>th</w:t>
      </w:r>
      <w:r>
        <w:t xml:space="preserve"> Ed.)</w:t>
      </w:r>
    </w:p>
    <w:p w14:paraId="3791CCB4" w14:textId="77777777" w:rsidR="00082870" w:rsidRDefault="00082870">
      <w:pPr>
        <w:pStyle w:val="Normal1"/>
      </w:pPr>
      <w:r>
        <w:t xml:space="preserve">Orwell, </w:t>
      </w:r>
      <w:r w:rsidRPr="00082870">
        <w:rPr>
          <w:i/>
        </w:rPr>
        <w:t>1984</w:t>
      </w:r>
    </w:p>
    <w:p w14:paraId="286F8FE6" w14:textId="6F66DBBF" w:rsidR="009F27F4" w:rsidRPr="009F27F4" w:rsidRDefault="009F27F4">
      <w:pPr>
        <w:pStyle w:val="Normal1"/>
      </w:pPr>
      <w:r>
        <w:t>Supplemental texts TBD</w:t>
      </w:r>
    </w:p>
    <w:p w14:paraId="61428F98" w14:textId="77777777" w:rsidR="00536256" w:rsidRDefault="00536256">
      <w:pPr>
        <w:pStyle w:val="Normal1"/>
      </w:pPr>
    </w:p>
    <w:p w14:paraId="2991993B" w14:textId="77777777" w:rsidR="001C5F45" w:rsidRDefault="00BA7F7E">
      <w:pPr>
        <w:pStyle w:val="Normal1"/>
        <w:rPr>
          <w:b/>
        </w:rPr>
      </w:pPr>
      <w:r>
        <w:rPr>
          <w:b/>
        </w:rPr>
        <w:t>Course Description:</w:t>
      </w:r>
    </w:p>
    <w:p w14:paraId="74A73F98" w14:textId="77777777" w:rsidR="00EF0CBA" w:rsidRPr="00EF0CBA" w:rsidRDefault="00EF0CBA" w:rsidP="00EF0CBA">
      <w:pPr>
        <w:pStyle w:val="Normal1"/>
      </w:pPr>
      <w:r w:rsidRPr="00EF0CBA">
        <w:t xml:space="preserve">Prerequisite: ENGL 1500 or its equivalent. Studies complex structures of language, including its logical and persuasive possibilities. Emphasizes analytical reading, critical thinking, and research methodology skills. </w:t>
      </w:r>
    </w:p>
    <w:p w14:paraId="67BAC2D1" w14:textId="77777777" w:rsidR="001C5F45" w:rsidRDefault="001C5F45">
      <w:pPr>
        <w:pStyle w:val="Normal1"/>
        <w:rPr>
          <w:b/>
        </w:rPr>
      </w:pPr>
    </w:p>
    <w:p w14:paraId="02D0C324" w14:textId="77777777" w:rsidR="001C5F45" w:rsidRDefault="00BA7F7E">
      <w:pPr>
        <w:pStyle w:val="Normal1"/>
      </w:pPr>
      <w:r>
        <w:rPr>
          <w:b/>
        </w:rPr>
        <w:t>Course Learning Objectives/Goals</w:t>
      </w:r>
      <w:r>
        <w:t>:</w:t>
      </w:r>
    </w:p>
    <w:p w14:paraId="34F66933" w14:textId="77777777" w:rsidR="00EF0CBA" w:rsidRPr="00EF0CBA" w:rsidRDefault="00EF0CBA" w:rsidP="00EF0CBA">
      <w:pPr>
        <w:pStyle w:val="Normal1"/>
      </w:pPr>
      <w:r w:rsidRPr="00EF0CBA">
        <w:t xml:space="preserve">Students who complete this course will be able to: </w:t>
      </w:r>
    </w:p>
    <w:p w14:paraId="6C2E9700" w14:textId="77777777" w:rsidR="00EF0CBA" w:rsidRPr="00EF0CBA" w:rsidRDefault="00EF0CBA" w:rsidP="00EF0CBA">
      <w:pPr>
        <w:pStyle w:val="Normal1"/>
        <w:numPr>
          <w:ilvl w:val="0"/>
          <w:numId w:val="8"/>
        </w:numPr>
      </w:pPr>
      <w:r w:rsidRPr="00EF0CBA">
        <w:t>Write and design persuasive messages that incorporate various kinds of research in order to  appeal to specific rhetorical situations (i.e., purposes, audiences, and contexts).  </w:t>
      </w:r>
    </w:p>
    <w:p w14:paraId="5263D429" w14:textId="77777777" w:rsidR="00EF0CBA" w:rsidRPr="00EF0CBA" w:rsidRDefault="00EF0CBA" w:rsidP="00EF0CBA">
      <w:pPr>
        <w:pStyle w:val="Normal1"/>
        <w:numPr>
          <w:ilvl w:val="0"/>
          <w:numId w:val="8"/>
        </w:numPr>
      </w:pPr>
      <w:r w:rsidRPr="00EF0CBA">
        <w:lastRenderedPageBreak/>
        <w:t>Compose rhetorically appropriate prose and design that meets audience expectations of  style, usage, and other conventions.  </w:t>
      </w:r>
    </w:p>
    <w:p w14:paraId="5ACEF7CB" w14:textId="77777777" w:rsidR="00EF0CBA" w:rsidRPr="00EF0CBA" w:rsidRDefault="00EF0CBA" w:rsidP="00EF0CBA">
      <w:pPr>
        <w:pStyle w:val="Normal1"/>
        <w:numPr>
          <w:ilvl w:val="0"/>
          <w:numId w:val="8"/>
        </w:numPr>
      </w:pPr>
      <w:r w:rsidRPr="00EF0CBA">
        <w:t>Analyze rhetorical situations and messages by using a sophisticated conceptual vocabulary.  </w:t>
      </w:r>
    </w:p>
    <w:p w14:paraId="51050AD9" w14:textId="77777777" w:rsidR="00EF0CBA" w:rsidRPr="00EF0CBA" w:rsidRDefault="00EF0CBA" w:rsidP="00EF0CBA">
      <w:pPr>
        <w:pStyle w:val="Normal1"/>
        <w:numPr>
          <w:ilvl w:val="0"/>
          <w:numId w:val="8"/>
        </w:numPr>
      </w:pPr>
      <w:r w:rsidRPr="00EF0CBA">
        <w:t>Incorporate rhetorically appropriate and reliable research sources into new compositions.  </w:t>
      </w:r>
    </w:p>
    <w:p w14:paraId="497E1A72" w14:textId="77777777" w:rsidR="00EF0CBA" w:rsidRPr="00EF0CBA" w:rsidRDefault="00EF0CBA" w:rsidP="00EF0CBA">
      <w:pPr>
        <w:pStyle w:val="Normal1"/>
        <w:numPr>
          <w:ilvl w:val="0"/>
          <w:numId w:val="8"/>
        </w:numPr>
      </w:pPr>
      <w:r w:rsidRPr="00EF0CBA">
        <w:t>Summarize, paraphrase, and quote texts accurately and fairly.  </w:t>
      </w:r>
    </w:p>
    <w:p w14:paraId="05C96BAC" w14:textId="77777777" w:rsidR="00EF0CBA" w:rsidRPr="00EF0CBA" w:rsidRDefault="00EF0CBA" w:rsidP="00EF0CBA">
      <w:pPr>
        <w:pStyle w:val="Normal1"/>
        <w:numPr>
          <w:ilvl w:val="0"/>
          <w:numId w:val="8"/>
        </w:numPr>
      </w:pPr>
      <w:r w:rsidRPr="00EF0CBA">
        <w:t>Evaluate their own compositions and rhetorical choices.  </w:t>
      </w:r>
    </w:p>
    <w:p w14:paraId="64C98C34" w14:textId="77777777" w:rsidR="00EF0CBA" w:rsidRDefault="00EF0CBA">
      <w:pPr>
        <w:pStyle w:val="Normal1"/>
        <w:rPr>
          <w:b/>
        </w:rPr>
      </w:pPr>
    </w:p>
    <w:p w14:paraId="43287EEA" w14:textId="77777777" w:rsidR="001C5F45" w:rsidRDefault="00BA7F7E">
      <w:pPr>
        <w:pStyle w:val="Normal1"/>
      </w:pPr>
      <w:r>
        <w:rPr>
          <w:b/>
        </w:rPr>
        <w:t>Method for Determining Final Grade for Course</w:t>
      </w:r>
      <w:r>
        <w:t>:</w:t>
      </w:r>
    </w:p>
    <w:p w14:paraId="0399C0BC" w14:textId="242E9B43" w:rsidR="001C5F45" w:rsidRDefault="00F502DC" w:rsidP="00F502DC">
      <w:pPr>
        <w:pStyle w:val="Normal1"/>
        <w:numPr>
          <w:ilvl w:val="0"/>
          <w:numId w:val="5"/>
        </w:numPr>
      </w:pPr>
      <w:r>
        <w:t>Reading, analyzing, and discussing assigned texts</w:t>
      </w:r>
    </w:p>
    <w:p w14:paraId="5C47AD1A" w14:textId="5DC0A31D" w:rsidR="00F502DC" w:rsidRDefault="00F502DC" w:rsidP="00F502DC">
      <w:pPr>
        <w:pStyle w:val="Normal1"/>
        <w:numPr>
          <w:ilvl w:val="0"/>
          <w:numId w:val="5"/>
        </w:numPr>
      </w:pPr>
      <w:r>
        <w:t>Active participation in collaborative scenarios (composition and revision processes)</w:t>
      </w:r>
    </w:p>
    <w:p w14:paraId="44C8931D" w14:textId="06D4A626" w:rsidR="00F502DC" w:rsidRDefault="00F502DC" w:rsidP="00F502DC">
      <w:pPr>
        <w:pStyle w:val="Normal1"/>
        <w:numPr>
          <w:ilvl w:val="0"/>
          <w:numId w:val="5"/>
        </w:numPr>
      </w:pPr>
      <w:r>
        <w:t xml:space="preserve">Producing a minimum of three formal essays </w:t>
      </w:r>
    </w:p>
    <w:p w14:paraId="26F6C62A" w14:textId="0532A578" w:rsidR="009E1248" w:rsidRDefault="009E1248" w:rsidP="00F502DC">
      <w:pPr>
        <w:pStyle w:val="Normal1"/>
        <w:numPr>
          <w:ilvl w:val="0"/>
          <w:numId w:val="5"/>
        </w:numPr>
      </w:pPr>
      <w:r>
        <w:t>Oral and multimedia compositions/presentations</w:t>
      </w:r>
    </w:p>
    <w:p w14:paraId="78211AAF" w14:textId="679A801F" w:rsidR="00F502DC" w:rsidRDefault="00F502DC" w:rsidP="00F502DC">
      <w:pPr>
        <w:pStyle w:val="Normal1"/>
        <w:numPr>
          <w:ilvl w:val="0"/>
          <w:numId w:val="5"/>
        </w:numPr>
      </w:pPr>
      <w:r>
        <w:t>Shorter, focused writing and research exercises</w:t>
      </w:r>
    </w:p>
    <w:p w14:paraId="784DE18C" w14:textId="77777777" w:rsidR="00A9663A" w:rsidRDefault="00A9663A" w:rsidP="00A9663A">
      <w:pPr>
        <w:pStyle w:val="Normal1"/>
        <w:numPr>
          <w:ilvl w:val="0"/>
          <w:numId w:val="5"/>
        </w:numPr>
      </w:pPr>
      <w:r>
        <w:t>Final Exam</w:t>
      </w:r>
    </w:p>
    <w:p w14:paraId="3C83AB16" w14:textId="77777777" w:rsidR="001C5F45" w:rsidRDefault="001C5F45">
      <w:pPr>
        <w:pStyle w:val="Normal1"/>
      </w:pPr>
    </w:p>
    <w:p w14:paraId="22474D13" w14:textId="77777777" w:rsidR="001C5F45" w:rsidRDefault="00BA7F7E">
      <w:pPr>
        <w:pStyle w:val="Normal1"/>
      </w:pPr>
      <w:r>
        <w:rPr>
          <w:b/>
        </w:rPr>
        <w:t>Course Grading Scale</w:t>
      </w:r>
      <w:r>
        <w:t>:</w:t>
      </w:r>
    </w:p>
    <w:p w14:paraId="2464A2D4" w14:textId="1CFFD1CE" w:rsidR="001C5F45" w:rsidRDefault="00F502DC" w:rsidP="00F502DC">
      <w:pPr>
        <w:pStyle w:val="Normal1"/>
        <w:numPr>
          <w:ilvl w:val="0"/>
          <w:numId w:val="6"/>
        </w:numPr>
      </w:pPr>
      <w:r>
        <w:t>93-100 A</w:t>
      </w:r>
    </w:p>
    <w:p w14:paraId="69026C40" w14:textId="3BBB2618" w:rsidR="00F502DC" w:rsidRDefault="00F502DC" w:rsidP="00F502DC">
      <w:pPr>
        <w:pStyle w:val="Normal1"/>
        <w:numPr>
          <w:ilvl w:val="0"/>
          <w:numId w:val="6"/>
        </w:numPr>
      </w:pPr>
      <w:r>
        <w:t xml:space="preserve">83-92 </w:t>
      </w:r>
      <w:r w:rsidR="00201D55">
        <w:t xml:space="preserve">  </w:t>
      </w:r>
      <w:r>
        <w:t>B</w:t>
      </w:r>
    </w:p>
    <w:p w14:paraId="1D209DA9" w14:textId="15B13326" w:rsidR="00F502DC" w:rsidRDefault="00F502DC" w:rsidP="00F502DC">
      <w:pPr>
        <w:pStyle w:val="Normal1"/>
        <w:numPr>
          <w:ilvl w:val="0"/>
          <w:numId w:val="6"/>
        </w:numPr>
      </w:pPr>
      <w:r>
        <w:t xml:space="preserve">73-82 </w:t>
      </w:r>
      <w:r w:rsidR="00201D55">
        <w:t xml:space="preserve">  </w:t>
      </w:r>
      <w:r>
        <w:t>C</w:t>
      </w:r>
    </w:p>
    <w:p w14:paraId="346C1868" w14:textId="4A03F6C5" w:rsidR="00F502DC" w:rsidRDefault="00F502DC" w:rsidP="00F502DC">
      <w:pPr>
        <w:pStyle w:val="Normal1"/>
        <w:numPr>
          <w:ilvl w:val="0"/>
          <w:numId w:val="6"/>
        </w:numPr>
      </w:pPr>
      <w:r>
        <w:t>63-72</w:t>
      </w:r>
      <w:r w:rsidR="00201D55">
        <w:t xml:space="preserve"> </w:t>
      </w:r>
      <w:r>
        <w:t xml:space="preserve"> </w:t>
      </w:r>
      <w:r w:rsidR="00201D55">
        <w:t xml:space="preserve"> </w:t>
      </w:r>
      <w:r>
        <w:t>D</w:t>
      </w:r>
    </w:p>
    <w:p w14:paraId="43C75916" w14:textId="56D006C4" w:rsidR="001C5F45" w:rsidRDefault="00201D55" w:rsidP="00ED1DF0">
      <w:pPr>
        <w:pStyle w:val="Normal1"/>
        <w:numPr>
          <w:ilvl w:val="0"/>
          <w:numId w:val="6"/>
        </w:numPr>
      </w:pPr>
      <w:r>
        <w:t>62-</w:t>
      </w:r>
      <w:r w:rsidR="00F502DC" w:rsidRPr="00ED2117">
        <w:rPr>
          <w:rFonts w:ascii="Wingdings" w:hAnsi="Wingdings"/>
        </w:rPr>
        <w:t></w:t>
      </w:r>
      <w:r>
        <w:rPr>
          <w:rFonts w:ascii="Wingdings" w:hAnsi="Wingdings"/>
        </w:rPr>
        <w:t></w:t>
      </w:r>
      <w:r>
        <w:t>F</w:t>
      </w:r>
    </w:p>
    <w:p w14:paraId="51B17210" w14:textId="77777777" w:rsidR="001C5F45" w:rsidRDefault="001C5F45">
      <w:pPr>
        <w:pStyle w:val="Normal1"/>
      </w:pPr>
    </w:p>
    <w:p w14:paraId="1F71BE2F" w14:textId="77777777" w:rsidR="001C5F45" w:rsidRDefault="00BA7F7E">
      <w:pPr>
        <w:pStyle w:val="Normal1"/>
      </w:pPr>
      <w:r>
        <w:rPr>
          <w:b/>
        </w:rPr>
        <w:t>SLU Grading Information</w:t>
      </w:r>
      <w:r>
        <w:t xml:space="preserve">: </w:t>
      </w:r>
    </w:p>
    <w:p w14:paraId="6999D9E7" w14:textId="77777777" w:rsidR="001C5F45" w:rsidRDefault="00BA7F7E">
      <w:pPr>
        <w:pStyle w:val="Normal1"/>
      </w:pPr>
      <w:r>
        <w:t>Unless otherwise presented in this section, Saint Louis University has reviewed and approved the above course grading scale to be used by the instructor for the transcripted Saint Louis University college grade.</w:t>
      </w:r>
    </w:p>
    <w:p w14:paraId="4E496209" w14:textId="77777777" w:rsidR="001C5F45" w:rsidRDefault="001C5F45">
      <w:pPr>
        <w:pStyle w:val="Normal1"/>
      </w:pPr>
    </w:p>
    <w:p w14:paraId="7042DB6B" w14:textId="77777777" w:rsidR="001C5F45" w:rsidRDefault="00BA7F7E">
      <w:pPr>
        <w:pStyle w:val="Normal1"/>
      </w:pPr>
      <w:r>
        <w:t xml:space="preserve">Saint Louis University’s undergraduate grading system follows a 0 - 4.000 grade point scale. Grades are assigned to the SLU transcript as follows: </w:t>
      </w:r>
    </w:p>
    <w:tbl>
      <w:tblPr>
        <w:tblStyle w:val="a"/>
        <w:tblW w:w="7485" w:type="dxa"/>
        <w:tblBorders>
          <w:top w:val="nil"/>
          <w:left w:val="nil"/>
          <w:bottom w:val="nil"/>
          <w:right w:val="nil"/>
          <w:insideH w:val="nil"/>
          <w:insideV w:val="nil"/>
        </w:tblBorders>
        <w:tblLayout w:type="fixed"/>
        <w:tblLook w:val="0600" w:firstRow="0" w:lastRow="0" w:firstColumn="0" w:lastColumn="0" w:noHBand="1" w:noVBand="1"/>
      </w:tblPr>
      <w:tblGrid>
        <w:gridCol w:w="1395"/>
        <w:gridCol w:w="1395"/>
        <w:gridCol w:w="4695"/>
      </w:tblGrid>
      <w:tr w:rsidR="001C5F45" w14:paraId="592B1FED" w14:textId="77777777">
        <w:tc>
          <w:tcPr>
            <w:tcW w:w="1395" w:type="dxa"/>
            <w:tcMar>
              <w:top w:w="100" w:type="dxa"/>
              <w:left w:w="100" w:type="dxa"/>
              <w:bottom w:w="100" w:type="dxa"/>
              <w:right w:w="100" w:type="dxa"/>
            </w:tcMar>
          </w:tcPr>
          <w:p w14:paraId="4FE88424" w14:textId="77777777" w:rsidR="001C5F45" w:rsidRDefault="00BA7F7E">
            <w:pPr>
              <w:pStyle w:val="Normal1"/>
              <w:rPr>
                <w:b/>
              </w:rPr>
            </w:pPr>
            <w:r>
              <w:rPr>
                <w:b/>
              </w:rPr>
              <w:t>Grade</w:t>
            </w:r>
          </w:p>
        </w:tc>
        <w:tc>
          <w:tcPr>
            <w:tcW w:w="1395" w:type="dxa"/>
            <w:tcMar>
              <w:top w:w="100" w:type="dxa"/>
              <w:left w:w="100" w:type="dxa"/>
              <w:bottom w:w="100" w:type="dxa"/>
              <w:right w:w="100" w:type="dxa"/>
            </w:tcMar>
          </w:tcPr>
          <w:p w14:paraId="2622450D" w14:textId="77777777" w:rsidR="001C5F45" w:rsidRDefault="00BA7F7E">
            <w:pPr>
              <w:pStyle w:val="Normal1"/>
              <w:rPr>
                <w:b/>
              </w:rPr>
            </w:pPr>
            <w:r>
              <w:rPr>
                <w:b/>
              </w:rPr>
              <w:t>Grade Points</w:t>
            </w:r>
          </w:p>
        </w:tc>
        <w:tc>
          <w:tcPr>
            <w:tcW w:w="4695" w:type="dxa"/>
            <w:tcMar>
              <w:top w:w="100" w:type="dxa"/>
              <w:left w:w="100" w:type="dxa"/>
              <w:bottom w:w="100" w:type="dxa"/>
              <w:right w:w="100" w:type="dxa"/>
            </w:tcMar>
          </w:tcPr>
          <w:p w14:paraId="0BBFD3C0" w14:textId="77777777" w:rsidR="001C5F45" w:rsidRDefault="00BA7F7E">
            <w:pPr>
              <w:pStyle w:val="Normal1"/>
              <w:jc w:val="center"/>
              <w:rPr>
                <w:b/>
              </w:rPr>
            </w:pPr>
            <w:r>
              <w:rPr>
                <w:b/>
              </w:rPr>
              <w:t>Interpretation</w:t>
            </w:r>
          </w:p>
        </w:tc>
      </w:tr>
      <w:tr w:rsidR="001C5F45" w14:paraId="403D9693" w14:textId="77777777">
        <w:tc>
          <w:tcPr>
            <w:tcW w:w="1395" w:type="dxa"/>
            <w:tcMar>
              <w:top w:w="100" w:type="dxa"/>
              <w:left w:w="100" w:type="dxa"/>
              <w:bottom w:w="100" w:type="dxa"/>
              <w:right w:w="100" w:type="dxa"/>
            </w:tcMar>
          </w:tcPr>
          <w:p w14:paraId="6674A342" w14:textId="77777777" w:rsidR="001C5F45" w:rsidRDefault="00BA7F7E">
            <w:pPr>
              <w:pStyle w:val="Normal1"/>
            </w:pPr>
            <w:r>
              <w:t>A</w:t>
            </w:r>
          </w:p>
        </w:tc>
        <w:tc>
          <w:tcPr>
            <w:tcW w:w="1395" w:type="dxa"/>
            <w:tcMar>
              <w:top w:w="100" w:type="dxa"/>
              <w:left w:w="100" w:type="dxa"/>
              <w:bottom w:w="100" w:type="dxa"/>
              <w:right w:w="100" w:type="dxa"/>
            </w:tcMar>
          </w:tcPr>
          <w:p w14:paraId="23A804DA" w14:textId="77777777" w:rsidR="001C5F45" w:rsidRDefault="00BA7F7E">
            <w:pPr>
              <w:pStyle w:val="Normal1"/>
            </w:pPr>
            <w:r>
              <w:t>4.000</w:t>
            </w:r>
          </w:p>
        </w:tc>
        <w:tc>
          <w:tcPr>
            <w:tcW w:w="4695" w:type="dxa"/>
            <w:tcMar>
              <w:top w:w="100" w:type="dxa"/>
              <w:left w:w="100" w:type="dxa"/>
              <w:bottom w:w="100" w:type="dxa"/>
              <w:right w:w="100" w:type="dxa"/>
            </w:tcMar>
          </w:tcPr>
          <w:p w14:paraId="7FCEEBEB" w14:textId="77777777" w:rsidR="001C5F45" w:rsidRDefault="00BA7F7E">
            <w:pPr>
              <w:pStyle w:val="Normal1"/>
            </w:pPr>
            <w:r>
              <w:t>High achievement and intellectual initiative</w:t>
            </w:r>
          </w:p>
        </w:tc>
      </w:tr>
      <w:tr w:rsidR="001C5F45" w14:paraId="415DB1FD" w14:textId="77777777">
        <w:tc>
          <w:tcPr>
            <w:tcW w:w="1395" w:type="dxa"/>
            <w:tcMar>
              <w:top w:w="100" w:type="dxa"/>
              <w:left w:w="100" w:type="dxa"/>
              <w:bottom w:w="100" w:type="dxa"/>
              <w:right w:w="100" w:type="dxa"/>
            </w:tcMar>
          </w:tcPr>
          <w:p w14:paraId="15C65727" w14:textId="77777777" w:rsidR="001C5F45" w:rsidRDefault="00BA7F7E">
            <w:pPr>
              <w:pStyle w:val="Normal1"/>
            </w:pPr>
            <w:r>
              <w:t>A-</w:t>
            </w:r>
          </w:p>
        </w:tc>
        <w:tc>
          <w:tcPr>
            <w:tcW w:w="1395" w:type="dxa"/>
            <w:tcMar>
              <w:top w:w="100" w:type="dxa"/>
              <w:left w:w="100" w:type="dxa"/>
              <w:bottom w:w="100" w:type="dxa"/>
              <w:right w:w="100" w:type="dxa"/>
            </w:tcMar>
          </w:tcPr>
          <w:p w14:paraId="750A2D29" w14:textId="77777777" w:rsidR="001C5F45" w:rsidRDefault="00BA7F7E">
            <w:pPr>
              <w:pStyle w:val="Normal1"/>
            </w:pPr>
            <w:r>
              <w:t>3.700</w:t>
            </w:r>
          </w:p>
        </w:tc>
        <w:tc>
          <w:tcPr>
            <w:tcW w:w="4695" w:type="dxa"/>
            <w:tcMar>
              <w:top w:w="100" w:type="dxa"/>
              <w:left w:w="100" w:type="dxa"/>
              <w:bottom w:w="100" w:type="dxa"/>
              <w:right w:w="100" w:type="dxa"/>
            </w:tcMar>
          </w:tcPr>
          <w:p w14:paraId="22736E5D" w14:textId="77777777" w:rsidR="001C5F45" w:rsidRDefault="001C5F45">
            <w:pPr>
              <w:pStyle w:val="Normal1"/>
            </w:pPr>
          </w:p>
        </w:tc>
      </w:tr>
      <w:tr w:rsidR="001C5F45" w14:paraId="439E032A" w14:textId="77777777">
        <w:tc>
          <w:tcPr>
            <w:tcW w:w="1395" w:type="dxa"/>
            <w:tcMar>
              <w:top w:w="100" w:type="dxa"/>
              <w:left w:w="100" w:type="dxa"/>
              <w:bottom w:w="100" w:type="dxa"/>
              <w:right w:w="100" w:type="dxa"/>
            </w:tcMar>
          </w:tcPr>
          <w:p w14:paraId="42820656" w14:textId="77777777" w:rsidR="001C5F45" w:rsidRDefault="00BA7F7E">
            <w:pPr>
              <w:pStyle w:val="Normal1"/>
            </w:pPr>
            <w:r>
              <w:t>B+</w:t>
            </w:r>
          </w:p>
        </w:tc>
        <w:tc>
          <w:tcPr>
            <w:tcW w:w="1395" w:type="dxa"/>
            <w:tcMar>
              <w:top w:w="100" w:type="dxa"/>
              <w:left w:w="100" w:type="dxa"/>
              <w:bottom w:w="100" w:type="dxa"/>
              <w:right w:w="100" w:type="dxa"/>
            </w:tcMar>
          </w:tcPr>
          <w:p w14:paraId="1139D967" w14:textId="77777777" w:rsidR="001C5F45" w:rsidRDefault="00BA7F7E">
            <w:pPr>
              <w:pStyle w:val="Normal1"/>
            </w:pPr>
            <w:r>
              <w:t>3.300</w:t>
            </w:r>
          </w:p>
        </w:tc>
        <w:tc>
          <w:tcPr>
            <w:tcW w:w="4695" w:type="dxa"/>
            <w:tcMar>
              <w:top w:w="100" w:type="dxa"/>
              <w:left w:w="100" w:type="dxa"/>
              <w:bottom w:w="100" w:type="dxa"/>
              <w:right w:w="100" w:type="dxa"/>
            </w:tcMar>
          </w:tcPr>
          <w:p w14:paraId="7355F4D2" w14:textId="77777777" w:rsidR="001C5F45" w:rsidRDefault="00BA7F7E">
            <w:pPr>
              <w:pStyle w:val="Normal1"/>
            </w:pPr>
            <w:r>
              <w:t>Above average, approaching high achievement</w:t>
            </w:r>
          </w:p>
        </w:tc>
      </w:tr>
      <w:tr w:rsidR="001C5F45" w14:paraId="5390390C" w14:textId="77777777">
        <w:tc>
          <w:tcPr>
            <w:tcW w:w="1395" w:type="dxa"/>
            <w:tcMar>
              <w:top w:w="100" w:type="dxa"/>
              <w:left w:w="100" w:type="dxa"/>
              <w:bottom w:w="100" w:type="dxa"/>
              <w:right w:w="100" w:type="dxa"/>
            </w:tcMar>
          </w:tcPr>
          <w:p w14:paraId="1FEC4B3C" w14:textId="77777777" w:rsidR="001C5F45" w:rsidRDefault="00BA7F7E">
            <w:pPr>
              <w:pStyle w:val="Normal1"/>
            </w:pPr>
            <w:r>
              <w:t>B</w:t>
            </w:r>
          </w:p>
        </w:tc>
        <w:tc>
          <w:tcPr>
            <w:tcW w:w="1395" w:type="dxa"/>
            <w:tcMar>
              <w:top w:w="100" w:type="dxa"/>
              <w:left w:w="100" w:type="dxa"/>
              <w:bottom w:w="100" w:type="dxa"/>
              <w:right w:w="100" w:type="dxa"/>
            </w:tcMar>
          </w:tcPr>
          <w:p w14:paraId="470F02A1" w14:textId="77777777" w:rsidR="001C5F45" w:rsidRDefault="00BA7F7E">
            <w:pPr>
              <w:pStyle w:val="Normal1"/>
            </w:pPr>
            <w:r>
              <w:t>3.000</w:t>
            </w:r>
          </w:p>
        </w:tc>
        <w:tc>
          <w:tcPr>
            <w:tcW w:w="4695" w:type="dxa"/>
            <w:tcMar>
              <w:top w:w="100" w:type="dxa"/>
              <w:left w:w="100" w:type="dxa"/>
              <w:bottom w:w="100" w:type="dxa"/>
              <w:right w:w="100" w:type="dxa"/>
            </w:tcMar>
          </w:tcPr>
          <w:p w14:paraId="25E4BF6B" w14:textId="77777777" w:rsidR="001C5F45" w:rsidRDefault="00BA7F7E">
            <w:pPr>
              <w:pStyle w:val="Normal1"/>
            </w:pPr>
            <w:r>
              <w:t>Above average achievement</w:t>
            </w:r>
          </w:p>
        </w:tc>
      </w:tr>
      <w:tr w:rsidR="001C5F45" w14:paraId="26BB44ED" w14:textId="77777777">
        <w:tc>
          <w:tcPr>
            <w:tcW w:w="1395" w:type="dxa"/>
            <w:tcMar>
              <w:top w:w="100" w:type="dxa"/>
              <w:left w:w="100" w:type="dxa"/>
              <w:bottom w:w="100" w:type="dxa"/>
              <w:right w:w="100" w:type="dxa"/>
            </w:tcMar>
          </w:tcPr>
          <w:p w14:paraId="5EE95EA5" w14:textId="77777777" w:rsidR="001C5F45" w:rsidRDefault="00BA7F7E">
            <w:pPr>
              <w:pStyle w:val="Normal1"/>
            </w:pPr>
            <w:r>
              <w:t>B-</w:t>
            </w:r>
          </w:p>
        </w:tc>
        <w:tc>
          <w:tcPr>
            <w:tcW w:w="1395" w:type="dxa"/>
            <w:tcMar>
              <w:top w:w="100" w:type="dxa"/>
              <w:left w:w="100" w:type="dxa"/>
              <w:bottom w:w="100" w:type="dxa"/>
              <w:right w:w="100" w:type="dxa"/>
            </w:tcMar>
          </w:tcPr>
          <w:p w14:paraId="39E0BF40" w14:textId="77777777" w:rsidR="001C5F45" w:rsidRDefault="00BA7F7E">
            <w:pPr>
              <w:pStyle w:val="Normal1"/>
            </w:pPr>
            <w:r>
              <w:t>2.700</w:t>
            </w:r>
          </w:p>
        </w:tc>
        <w:tc>
          <w:tcPr>
            <w:tcW w:w="4695" w:type="dxa"/>
            <w:tcMar>
              <w:top w:w="100" w:type="dxa"/>
              <w:left w:w="100" w:type="dxa"/>
              <w:bottom w:w="100" w:type="dxa"/>
              <w:right w:w="100" w:type="dxa"/>
            </w:tcMar>
          </w:tcPr>
          <w:p w14:paraId="7E15D5E2" w14:textId="77777777" w:rsidR="001C5F45" w:rsidRDefault="001C5F45">
            <w:pPr>
              <w:pStyle w:val="Normal1"/>
            </w:pPr>
          </w:p>
        </w:tc>
      </w:tr>
      <w:tr w:rsidR="001C5F45" w14:paraId="6E28D832" w14:textId="77777777">
        <w:tc>
          <w:tcPr>
            <w:tcW w:w="1395" w:type="dxa"/>
            <w:tcMar>
              <w:top w:w="100" w:type="dxa"/>
              <w:left w:w="100" w:type="dxa"/>
              <w:bottom w:w="100" w:type="dxa"/>
              <w:right w:w="100" w:type="dxa"/>
            </w:tcMar>
          </w:tcPr>
          <w:p w14:paraId="794FFB74" w14:textId="77777777" w:rsidR="001C5F45" w:rsidRDefault="00BA7F7E">
            <w:pPr>
              <w:pStyle w:val="Normal1"/>
            </w:pPr>
            <w:r>
              <w:lastRenderedPageBreak/>
              <w:t>C+</w:t>
            </w:r>
          </w:p>
        </w:tc>
        <w:tc>
          <w:tcPr>
            <w:tcW w:w="1395" w:type="dxa"/>
            <w:tcMar>
              <w:top w:w="100" w:type="dxa"/>
              <w:left w:w="100" w:type="dxa"/>
              <w:bottom w:w="100" w:type="dxa"/>
              <w:right w:w="100" w:type="dxa"/>
            </w:tcMar>
          </w:tcPr>
          <w:p w14:paraId="0C6E9CA9" w14:textId="77777777" w:rsidR="001C5F45" w:rsidRDefault="00BA7F7E">
            <w:pPr>
              <w:pStyle w:val="Normal1"/>
            </w:pPr>
            <w:r>
              <w:t>2.300</w:t>
            </w:r>
          </w:p>
        </w:tc>
        <w:tc>
          <w:tcPr>
            <w:tcW w:w="4695" w:type="dxa"/>
            <w:tcMar>
              <w:top w:w="100" w:type="dxa"/>
              <w:left w:w="100" w:type="dxa"/>
              <w:bottom w:w="100" w:type="dxa"/>
              <w:right w:w="100" w:type="dxa"/>
            </w:tcMar>
          </w:tcPr>
          <w:p w14:paraId="0A7CBB44" w14:textId="77777777" w:rsidR="001C5F45" w:rsidRDefault="00BA7F7E">
            <w:pPr>
              <w:pStyle w:val="Normal1"/>
            </w:pPr>
            <w:r>
              <w:t>Midway between B and C</w:t>
            </w:r>
          </w:p>
        </w:tc>
      </w:tr>
      <w:tr w:rsidR="001C5F45" w14:paraId="73BF00DD" w14:textId="77777777">
        <w:tc>
          <w:tcPr>
            <w:tcW w:w="1395" w:type="dxa"/>
            <w:tcMar>
              <w:top w:w="100" w:type="dxa"/>
              <w:left w:w="100" w:type="dxa"/>
              <w:bottom w:w="100" w:type="dxa"/>
              <w:right w:w="100" w:type="dxa"/>
            </w:tcMar>
          </w:tcPr>
          <w:p w14:paraId="2FFAF4B8" w14:textId="77777777" w:rsidR="001C5F45" w:rsidRDefault="00BA7F7E">
            <w:pPr>
              <w:pStyle w:val="Normal1"/>
            </w:pPr>
            <w:r>
              <w:t>C</w:t>
            </w:r>
          </w:p>
        </w:tc>
        <w:tc>
          <w:tcPr>
            <w:tcW w:w="1395" w:type="dxa"/>
            <w:tcMar>
              <w:top w:w="100" w:type="dxa"/>
              <w:left w:w="100" w:type="dxa"/>
              <w:bottom w:w="100" w:type="dxa"/>
              <w:right w:w="100" w:type="dxa"/>
            </w:tcMar>
          </w:tcPr>
          <w:p w14:paraId="498B08BD" w14:textId="77777777" w:rsidR="001C5F45" w:rsidRDefault="00BA7F7E">
            <w:pPr>
              <w:pStyle w:val="Normal1"/>
            </w:pPr>
            <w:r>
              <w:t>2.000</w:t>
            </w:r>
          </w:p>
        </w:tc>
        <w:tc>
          <w:tcPr>
            <w:tcW w:w="4695" w:type="dxa"/>
            <w:tcMar>
              <w:top w:w="100" w:type="dxa"/>
              <w:left w:w="100" w:type="dxa"/>
              <w:bottom w:w="100" w:type="dxa"/>
              <w:right w:w="100" w:type="dxa"/>
            </w:tcMar>
          </w:tcPr>
          <w:p w14:paraId="75DB28F4" w14:textId="77777777" w:rsidR="001C5F45" w:rsidRDefault="00BA7F7E">
            <w:pPr>
              <w:pStyle w:val="Normal1"/>
            </w:pPr>
            <w:r>
              <w:t>Average achievement</w:t>
            </w:r>
          </w:p>
        </w:tc>
      </w:tr>
      <w:tr w:rsidR="001C5F45" w14:paraId="71DC0E8E" w14:textId="77777777">
        <w:tc>
          <w:tcPr>
            <w:tcW w:w="1395" w:type="dxa"/>
            <w:tcMar>
              <w:top w:w="100" w:type="dxa"/>
              <w:left w:w="100" w:type="dxa"/>
              <w:bottom w:w="100" w:type="dxa"/>
              <w:right w:w="100" w:type="dxa"/>
            </w:tcMar>
          </w:tcPr>
          <w:p w14:paraId="0191119B" w14:textId="77777777" w:rsidR="001C5F45" w:rsidRDefault="00BA7F7E">
            <w:pPr>
              <w:pStyle w:val="Normal1"/>
            </w:pPr>
            <w:r>
              <w:t>C-</w:t>
            </w:r>
          </w:p>
        </w:tc>
        <w:tc>
          <w:tcPr>
            <w:tcW w:w="1395" w:type="dxa"/>
            <w:tcMar>
              <w:top w:w="100" w:type="dxa"/>
              <w:left w:w="100" w:type="dxa"/>
              <w:bottom w:w="100" w:type="dxa"/>
              <w:right w:w="100" w:type="dxa"/>
            </w:tcMar>
          </w:tcPr>
          <w:p w14:paraId="355D0967" w14:textId="77777777" w:rsidR="001C5F45" w:rsidRDefault="00BA7F7E">
            <w:pPr>
              <w:pStyle w:val="Normal1"/>
            </w:pPr>
            <w:r>
              <w:t>1.700</w:t>
            </w:r>
          </w:p>
        </w:tc>
        <w:tc>
          <w:tcPr>
            <w:tcW w:w="4695" w:type="dxa"/>
            <w:tcMar>
              <w:top w:w="100" w:type="dxa"/>
              <w:left w:w="100" w:type="dxa"/>
              <w:bottom w:w="100" w:type="dxa"/>
              <w:right w:w="100" w:type="dxa"/>
            </w:tcMar>
          </w:tcPr>
          <w:p w14:paraId="4D3E80B2" w14:textId="77777777" w:rsidR="001C5F45" w:rsidRDefault="001C5F45">
            <w:pPr>
              <w:pStyle w:val="Normal1"/>
            </w:pPr>
          </w:p>
        </w:tc>
      </w:tr>
      <w:tr w:rsidR="001C5F45" w14:paraId="4E641D48" w14:textId="77777777">
        <w:tc>
          <w:tcPr>
            <w:tcW w:w="1395" w:type="dxa"/>
            <w:tcMar>
              <w:top w:w="100" w:type="dxa"/>
              <w:left w:w="100" w:type="dxa"/>
              <w:bottom w:w="100" w:type="dxa"/>
              <w:right w:w="100" w:type="dxa"/>
            </w:tcMar>
          </w:tcPr>
          <w:p w14:paraId="222756AC" w14:textId="77777777" w:rsidR="001C5F45" w:rsidRDefault="00BA7F7E">
            <w:pPr>
              <w:pStyle w:val="Normal1"/>
            </w:pPr>
            <w:r>
              <w:t>D</w:t>
            </w:r>
          </w:p>
        </w:tc>
        <w:tc>
          <w:tcPr>
            <w:tcW w:w="1395" w:type="dxa"/>
            <w:tcMar>
              <w:top w:w="100" w:type="dxa"/>
              <w:left w:w="100" w:type="dxa"/>
              <w:bottom w:w="100" w:type="dxa"/>
              <w:right w:w="100" w:type="dxa"/>
            </w:tcMar>
          </w:tcPr>
          <w:p w14:paraId="5A34CC57" w14:textId="77777777" w:rsidR="001C5F45" w:rsidRDefault="00BA7F7E">
            <w:pPr>
              <w:pStyle w:val="Normal1"/>
            </w:pPr>
            <w:r>
              <w:t>1.000</w:t>
            </w:r>
          </w:p>
        </w:tc>
        <w:tc>
          <w:tcPr>
            <w:tcW w:w="4695" w:type="dxa"/>
            <w:tcMar>
              <w:top w:w="100" w:type="dxa"/>
              <w:left w:w="100" w:type="dxa"/>
              <w:bottom w:w="100" w:type="dxa"/>
              <w:right w:w="100" w:type="dxa"/>
            </w:tcMar>
          </w:tcPr>
          <w:p w14:paraId="369006DD" w14:textId="77777777" w:rsidR="001C5F45" w:rsidRDefault="00BA7F7E">
            <w:pPr>
              <w:pStyle w:val="Normal1"/>
            </w:pPr>
            <w:r>
              <w:t>Inferior but passing achievement</w:t>
            </w:r>
          </w:p>
        </w:tc>
      </w:tr>
      <w:tr w:rsidR="001C5F45" w14:paraId="314DE927" w14:textId="77777777">
        <w:tc>
          <w:tcPr>
            <w:tcW w:w="1395" w:type="dxa"/>
            <w:tcMar>
              <w:top w:w="100" w:type="dxa"/>
              <w:left w:w="100" w:type="dxa"/>
              <w:bottom w:w="100" w:type="dxa"/>
              <w:right w:w="100" w:type="dxa"/>
            </w:tcMar>
          </w:tcPr>
          <w:p w14:paraId="71C43A8E" w14:textId="77777777" w:rsidR="001C5F45" w:rsidRDefault="00BA7F7E">
            <w:pPr>
              <w:pStyle w:val="Normal1"/>
            </w:pPr>
            <w:r>
              <w:t>F</w:t>
            </w:r>
          </w:p>
        </w:tc>
        <w:tc>
          <w:tcPr>
            <w:tcW w:w="1395" w:type="dxa"/>
            <w:tcMar>
              <w:top w:w="100" w:type="dxa"/>
              <w:left w:w="100" w:type="dxa"/>
              <w:bottom w:w="100" w:type="dxa"/>
              <w:right w:w="100" w:type="dxa"/>
            </w:tcMar>
          </w:tcPr>
          <w:p w14:paraId="10074CE7" w14:textId="77777777" w:rsidR="001C5F45" w:rsidRDefault="00BA7F7E">
            <w:pPr>
              <w:pStyle w:val="Normal1"/>
            </w:pPr>
            <w:r>
              <w:t>0</w:t>
            </w:r>
          </w:p>
        </w:tc>
        <w:tc>
          <w:tcPr>
            <w:tcW w:w="4695" w:type="dxa"/>
            <w:tcMar>
              <w:top w:w="100" w:type="dxa"/>
              <w:left w:w="100" w:type="dxa"/>
              <w:bottom w:w="100" w:type="dxa"/>
              <w:right w:w="100" w:type="dxa"/>
            </w:tcMar>
          </w:tcPr>
          <w:p w14:paraId="031E0261" w14:textId="77777777" w:rsidR="001C5F45" w:rsidRDefault="00BA7F7E">
            <w:pPr>
              <w:pStyle w:val="Normal1"/>
            </w:pPr>
            <w:r>
              <w:t>Failure</w:t>
            </w:r>
          </w:p>
        </w:tc>
      </w:tr>
    </w:tbl>
    <w:p w14:paraId="14F65391" w14:textId="77777777" w:rsidR="001C5F45" w:rsidRDefault="001C5F45">
      <w:pPr>
        <w:pStyle w:val="Normal1"/>
        <w:spacing w:after="160" w:line="300" w:lineRule="auto"/>
      </w:pPr>
    </w:p>
    <w:p w14:paraId="50C4C8C5" w14:textId="2B332F1A" w:rsidR="001C5F45" w:rsidRDefault="00BA7F7E">
      <w:pPr>
        <w:pStyle w:val="Normal1"/>
        <w:spacing w:after="160" w:line="300" w:lineRule="auto"/>
      </w:pPr>
      <w:r>
        <w:t xml:space="preserve">Note on SLU Undergraduate Cumulative GPA: </w:t>
      </w:r>
    </w:p>
    <w:p w14:paraId="2F50A09C" w14:textId="65A2AF5E" w:rsidR="001C5F45" w:rsidRPr="003B2BB0" w:rsidRDefault="00BA7F7E" w:rsidP="003B2BB0">
      <w:pPr>
        <w:pStyle w:val="Normal1"/>
        <w:spacing w:after="160" w:line="300" w:lineRule="auto"/>
      </w:pPr>
      <w:r>
        <w:t>The grades earned through the 1818 Advanced College Credit Program are considered Saint Louis University grades, and will become part of the student's undergraduate GPA if the student enrolls at Saint Louis University as a full time student.</w:t>
      </w:r>
    </w:p>
    <w:p w14:paraId="432E3A71" w14:textId="77777777" w:rsidR="001C5F45" w:rsidRDefault="001C5F45">
      <w:pPr>
        <w:pStyle w:val="Normal1"/>
        <w:rPr>
          <w:b/>
        </w:rPr>
      </w:pPr>
    </w:p>
    <w:p w14:paraId="5F84DC9D" w14:textId="77777777" w:rsidR="001C5F45" w:rsidRDefault="00BA7F7E">
      <w:pPr>
        <w:pStyle w:val="Normal1"/>
      </w:pPr>
      <w:r>
        <w:rPr>
          <w:b/>
        </w:rPr>
        <w:t>Significant Learning Activities / Evaluation Strategies and Approximate Deadlines and/or Calendar</w:t>
      </w:r>
      <w:r>
        <w:t>:</w:t>
      </w:r>
    </w:p>
    <w:p w14:paraId="07104B87" w14:textId="77777777" w:rsidR="001C5F45" w:rsidRDefault="001C5F45" w:rsidP="002316CA">
      <w:pPr>
        <w:pStyle w:val="Normal1"/>
        <w:spacing w:line="240" w:lineRule="auto"/>
      </w:pPr>
    </w:p>
    <w:p w14:paraId="56D01853" w14:textId="674497AB" w:rsidR="001C5F45" w:rsidRDefault="003C68A9" w:rsidP="003C68A9">
      <w:pPr>
        <w:pStyle w:val="Normal1"/>
        <w:numPr>
          <w:ilvl w:val="0"/>
          <w:numId w:val="9"/>
        </w:numPr>
      </w:pPr>
      <w:r>
        <w:t>Moving Your Audience (</w:t>
      </w:r>
      <w:r w:rsidRPr="003C68A9">
        <w:rPr>
          <w:i/>
        </w:rPr>
        <w:t>Writing Arguments</w:t>
      </w:r>
      <w:r>
        <w:t xml:space="preserve">, Ch. 6) Ethos, Pathos, and Kairos; </w:t>
      </w:r>
      <w:r w:rsidR="009F2B63">
        <w:t>Multimodal treatment: e</w:t>
      </w:r>
      <w:r>
        <w:t>nhancing previous argument with effective photography/images (revision of piece with this focus).</w:t>
      </w:r>
      <w:r w:rsidR="009F2B63">
        <w:t xml:space="preserve"> (1-2 weeks)</w:t>
      </w:r>
    </w:p>
    <w:p w14:paraId="71AF3C11" w14:textId="14C414BD" w:rsidR="003C68A9" w:rsidRDefault="009F2B63" w:rsidP="003C68A9">
      <w:pPr>
        <w:pStyle w:val="Normal1"/>
        <w:numPr>
          <w:ilvl w:val="0"/>
          <w:numId w:val="9"/>
        </w:numPr>
      </w:pPr>
      <w:r>
        <w:t>Responding to Objections and Alternative Views (</w:t>
      </w:r>
      <w:r>
        <w:rPr>
          <w:i/>
        </w:rPr>
        <w:t>WA</w:t>
      </w:r>
      <w:r>
        <w:t xml:space="preserve"> Ch. 7); Claim and concession/rebuttal (1 week)</w:t>
      </w:r>
    </w:p>
    <w:p w14:paraId="2E3FCC83" w14:textId="71FE3D47" w:rsidR="009F2B63" w:rsidRDefault="009F2B63" w:rsidP="003C68A9">
      <w:pPr>
        <w:pStyle w:val="Normal1"/>
        <w:numPr>
          <w:ilvl w:val="0"/>
          <w:numId w:val="9"/>
        </w:numPr>
      </w:pPr>
      <w:r>
        <w:t>Analyzing and Deconstructing Arguments; Questions for Rhetorical Analysis; model</w:t>
      </w:r>
      <w:r w:rsidR="00B9709C">
        <w:t>s</w:t>
      </w:r>
      <w:r>
        <w:t xml:space="preserve"> and response</w:t>
      </w:r>
      <w:r w:rsidR="00B9709C">
        <w:t>s</w:t>
      </w:r>
      <w:r>
        <w:t xml:space="preserve"> (</w:t>
      </w:r>
      <w:r w:rsidRPr="009F2B63">
        <w:rPr>
          <w:i/>
        </w:rPr>
        <w:t>WA</w:t>
      </w:r>
      <w:r>
        <w:t xml:space="preserve"> Ch.8); (</w:t>
      </w:r>
      <w:r w:rsidR="00B9709C">
        <w:t>2-3</w:t>
      </w:r>
      <w:r>
        <w:t xml:space="preserve"> weeks)</w:t>
      </w:r>
    </w:p>
    <w:p w14:paraId="14C11621" w14:textId="3A416883" w:rsidR="009F2B63" w:rsidRDefault="009F2B63" w:rsidP="003C68A9">
      <w:pPr>
        <w:pStyle w:val="Normal1"/>
        <w:numPr>
          <w:ilvl w:val="0"/>
          <w:numId w:val="9"/>
        </w:numPr>
      </w:pPr>
      <w:r>
        <w:t>Analyzing and Constructing Visual Arguments (</w:t>
      </w:r>
      <w:r w:rsidRPr="009F2B63">
        <w:rPr>
          <w:i/>
        </w:rPr>
        <w:t>WA</w:t>
      </w:r>
      <w:r w:rsidR="005A3281">
        <w:t xml:space="preserve"> Ch. 9</w:t>
      </w:r>
      <w:r>
        <w:t xml:space="preserve">); Visual argument construction </w:t>
      </w:r>
      <w:r w:rsidR="005A3281">
        <w:t xml:space="preserve">and presentation </w:t>
      </w:r>
      <w:r>
        <w:t>(student choice for media) (1-2 weeks)</w:t>
      </w:r>
    </w:p>
    <w:p w14:paraId="43D3F152" w14:textId="0454E48A" w:rsidR="009F2B63" w:rsidRDefault="00526750" w:rsidP="003C68A9">
      <w:pPr>
        <w:pStyle w:val="Normal1"/>
        <w:numPr>
          <w:ilvl w:val="0"/>
          <w:numId w:val="9"/>
        </w:numPr>
      </w:pPr>
      <w:r>
        <w:t xml:space="preserve">Types of Claims overview (WA Ch. 10); Focus on </w:t>
      </w:r>
      <w:r w:rsidR="00B9709C">
        <w:t xml:space="preserve">Causal, </w:t>
      </w:r>
      <w:r>
        <w:t>Evaluation and Proposal claims (</w:t>
      </w:r>
      <w:r w:rsidRPr="00526750">
        <w:rPr>
          <w:i/>
        </w:rPr>
        <w:t xml:space="preserve">WA </w:t>
      </w:r>
      <w:r>
        <w:t xml:space="preserve">Ch. 13 and 14); </w:t>
      </w:r>
      <w:r w:rsidR="00EF2666">
        <w:t>Research outline for each; student choice for claim style used in formal essay</w:t>
      </w:r>
      <w:r w:rsidR="00B9709C">
        <w:t xml:space="preserve">  (approx. 4-5</w:t>
      </w:r>
      <w:r>
        <w:t>weeks)</w:t>
      </w:r>
    </w:p>
    <w:p w14:paraId="21B304FA" w14:textId="2E5AD86B" w:rsidR="00526750" w:rsidRDefault="00333A41" w:rsidP="003C68A9">
      <w:pPr>
        <w:pStyle w:val="Normal1"/>
        <w:numPr>
          <w:ilvl w:val="0"/>
          <w:numId w:val="9"/>
        </w:numPr>
      </w:pPr>
      <w:r>
        <w:t>Study</w:t>
      </w:r>
      <w:r w:rsidR="00D10AB3">
        <w:t xml:space="preserve"> of </w:t>
      </w:r>
      <w:r>
        <w:t xml:space="preserve">Orwell’s </w:t>
      </w:r>
      <w:r w:rsidR="00D10AB3" w:rsidRPr="00D10AB3">
        <w:rPr>
          <w:i/>
        </w:rPr>
        <w:t>1984</w:t>
      </w:r>
      <w:r>
        <w:rPr>
          <w:i/>
        </w:rPr>
        <w:t xml:space="preserve">; </w:t>
      </w:r>
      <w:r>
        <w:t>Research presentation (the effects of modern propaganda).</w:t>
      </w:r>
      <w:r w:rsidR="00EF2666">
        <w:t xml:space="preserve"> (4-5 weeks)</w:t>
      </w:r>
    </w:p>
    <w:p w14:paraId="08420CEF" w14:textId="77777777" w:rsidR="001C5F45" w:rsidRDefault="001C5F45">
      <w:pPr>
        <w:pStyle w:val="Normal1"/>
        <w:rPr>
          <w:b/>
        </w:rPr>
      </w:pPr>
    </w:p>
    <w:p w14:paraId="68F6EC10" w14:textId="77777777" w:rsidR="001C5F45" w:rsidRDefault="00BA7F7E">
      <w:pPr>
        <w:pStyle w:val="Normal1"/>
      </w:pPr>
      <w:r>
        <w:rPr>
          <w:b/>
        </w:rPr>
        <w:t>Information Essential to Student Success in SLU Course</w:t>
      </w:r>
      <w:r>
        <w:t xml:space="preserve">: </w:t>
      </w:r>
    </w:p>
    <w:p w14:paraId="63CB0757" w14:textId="77777777" w:rsidR="001C5F45" w:rsidRDefault="001C5F45">
      <w:pPr>
        <w:pStyle w:val="Normal1"/>
      </w:pPr>
    </w:p>
    <w:p w14:paraId="7EE57329" w14:textId="77777777" w:rsidR="001C5F45" w:rsidRDefault="00BA7F7E">
      <w:pPr>
        <w:pStyle w:val="Normal1"/>
        <w:ind w:left="720"/>
        <w:rPr>
          <w:b/>
          <w:color w:val="222222"/>
        </w:rPr>
      </w:pPr>
      <w:r>
        <w:rPr>
          <w:b/>
          <w:color w:val="222222"/>
        </w:rPr>
        <w:t>Academic Integrity Syllabus Statement</w:t>
      </w:r>
    </w:p>
    <w:p w14:paraId="437FF4F0" w14:textId="77777777" w:rsidR="001C5F45" w:rsidRDefault="00BA7F7E">
      <w:pPr>
        <w:pStyle w:val="Normal1"/>
        <w:ind w:left="720"/>
        <w:rPr>
          <w:color w:val="222222"/>
        </w:rPr>
      </w:pPr>
      <w:r>
        <w:rPr>
          <w:i/>
          <w:color w:val="222222"/>
        </w:rPr>
        <w:t>Academic integrity is honest, truthful and responsible conduct in all academic endeavors.</w:t>
      </w:r>
      <w:r>
        <w:rPr>
          <w:color w:val="222222"/>
        </w:rPr>
        <w:t xml:space="preserve"> The mission of Saint Louis University is "the pursuit of truth for the greater glory of God and for the service of humanity."  Accordingly, all acts of falsehood demean and compromise the corporate endeavors of teaching, research, health care, and community service via which SLU embodies its mission. The University strives to </w:t>
      </w:r>
      <w:r>
        <w:rPr>
          <w:color w:val="222222"/>
        </w:rPr>
        <w:lastRenderedPageBreak/>
        <w:t>prepare students for lives of personal and professional integrity, and therefore regards all breaches of academic integrity as matters of serious concern.</w:t>
      </w:r>
    </w:p>
    <w:p w14:paraId="1EE47D92" w14:textId="77777777" w:rsidR="001C5F45" w:rsidRDefault="00BA7F7E">
      <w:pPr>
        <w:pStyle w:val="Normal1"/>
        <w:ind w:left="720"/>
        <w:rPr>
          <w:color w:val="222222"/>
        </w:rPr>
      </w:pPr>
      <w:r>
        <w:rPr>
          <w:color w:val="222222"/>
        </w:rPr>
        <w:t xml:space="preserve"> </w:t>
      </w:r>
    </w:p>
    <w:p w14:paraId="3EB21079" w14:textId="77777777" w:rsidR="001C5F45" w:rsidRDefault="00BA7F7E">
      <w:pPr>
        <w:pStyle w:val="Normal1"/>
        <w:ind w:left="720"/>
        <w:rPr>
          <w:color w:val="222222"/>
        </w:rPr>
      </w:pPr>
      <w:r>
        <w:rPr>
          <w:color w:val="222222"/>
        </w:rPr>
        <w:t>The governing University-level Academic Integrity Policy was adopted in Spring 2015, and can be accessed on the Provost's Office website at:</w:t>
      </w:r>
      <w:hyperlink r:id="rId8">
        <w:r>
          <w:rPr>
            <w:color w:val="1155CC"/>
            <w:u w:val="single"/>
          </w:rPr>
          <w:t>http://www.slu.edu/Documents/provost/academic_affairs/University-wide%20Academic%20Integrity%20Policy%20FINAL%20%206-26-15.pdf</w:t>
        </w:r>
      </w:hyperlink>
      <w:r>
        <w:rPr>
          <w:color w:val="222222"/>
        </w:rPr>
        <w:t xml:space="preserve">. </w:t>
      </w:r>
    </w:p>
    <w:p w14:paraId="502EC1E8" w14:textId="77777777" w:rsidR="001C5F45" w:rsidRDefault="00BA7F7E">
      <w:pPr>
        <w:pStyle w:val="Normal1"/>
        <w:ind w:left="720"/>
        <w:rPr>
          <w:color w:val="222222"/>
        </w:rPr>
      </w:pPr>
      <w:r>
        <w:rPr>
          <w:color w:val="222222"/>
        </w:rPr>
        <w:t xml:space="preserve"> </w:t>
      </w:r>
    </w:p>
    <w:p w14:paraId="2CD1B3DB" w14:textId="77777777" w:rsidR="001C5F45" w:rsidRDefault="00BA7F7E">
      <w:pPr>
        <w:pStyle w:val="Normal1"/>
        <w:ind w:left="720"/>
        <w:rPr>
          <w:color w:val="222222"/>
        </w:rPr>
      </w:pPr>
      <w:r>
        <w:rPr>
          <w:color w:val="222222"/>
        </w:rPr>
        <w:t>Additionally, each SLU College, School, and Center has adopted its own academic integrity policies, available on their respective websites.  All SLU students are expected to know and abide by these policies, which detail definitions of violations, processes for reporting violations, sanctions, and appeals.  Please direct questions about any facet of academic integrity to your faculty, the chair of the department of your academic program, or the Dean/Director of the College, School or Center in which your program is housed.</w:t>
      </w:r>
    </w:p>
    <w:p w14:paraId="03ED927B" w14:textId="77777777" w:rsidR="001C5F45" w:rsidRDefault="001C5F45">
      <w:pPr>
        <w:pStyle w:val="Normal1"/>
        <w:ind w:left="720"/>
        <w:rPr>
          <w:color w:val="222222"/>
        </w:rPr>
      </w:pPr>
    </w:p>
    <w:p w14:paraId="4C193BD2" w14:textId="77777777" w:rsidR="001C5F45" w:rsidRDefault="00BA7F7E">
      <w:pPr>
        <w:pStyle w:val="Normal1"/>
        <w:ind w:left="720"/>
        <w:rPr>
          <w:color w:val="222222"/>
        </w:rPr>
      </w:pPr>
      <w:r>
        <w:rPr>
          <w:color w:val="222222"/>
        </w:rPr>
        <w:t xml:space="preserve">Students participating in the 1818 Advanced College Credit Program are held to and should be familiar with the College of Arts and Sciences Academic Honesty policy available at: </w:t>
      </w:r>
      <w:hyperlink r:id="rId9">
        <w:r>
          <w:rPr>
            <w:color w:val="1155CC"/>
            <w:u w:val="single"/>
          </w:rPr>
          <w:t>http://www.slu.edu/college-of-arts-and-sciences-home/undergraduate-students/academic-honesty</w:t>
        </w:r>
      </w:hyperlink>
    </w:p>
    <w:p w14:paraId="7F18B789" w14:textId="77777777" w:rsidR="001C5F45" w:rsidRDefault="001C5F45">
      <w:pPr>
        <w:pStyle w:val="Normal1"/>
        <w:spacing w:after="160" w:line="300" w:lineRule="auto"/>
        <w:rPr>
          <w:b/>
        </w:rPr>
      </w:pPr>
    </w:p>
    <w:p w14:paraId="7245F136" w14:textId="77777777" w:rsidR="001C5F45" w:rsidRDefault="00BA7F7E">
      <w:pPr>
        <w:pStyle w:val="Normal1"/>
        <w:spacing w:after="160" w:line="300" w:lineRule="auto"/>
        <w:ind w:left="720"/>
        <w:rPr>
          <w:b/>
        </w:rPr>
      </w:pPr>
      <w:r>
        <w:rPr>
          <w:b/>
        </w:rPr>
        <w:t xml:space="preserve">SLU Disability Services Academic Accommodations </w:t>
      </w:r>
    </w:p>
    <w:p w14:paraId="00439AEF" w14:textId="77777777" w:rsidR="001C5F45" w:rsidRDefault="00BA7F7E">
      <w:pPr>
        <w:pStyle w:val="Normal1"/>
        <w:spacing w:line="300" w:lineRule="auto"/>
        <w:ind w:left="720"/>
        <w:rPr>
          <w:color w:val="222222"/>
        </w:rPr>
      </w:pPr>
      <w:r>
        <w:rPr>
          <w:color w:val="222222"/>
        </w:rPr>
        <w:t xml:space="preserve">Students with a documented disability who wish to request academic accommodations </w:t>
      </w:r>
      <w:r>
        <w:rPr>
          <w:b/>
          <w:color w:val="222222"/>
        </w:rPr>
        <w:t xml:space="preserve">must </w:t>
      </w:r>
      <w:r>
        <w:rPr>
          <w:color w:val="222222"/>
        </w:rPr>
        <w:t xml:space="preserve">contact Disability Services to discuss accommodation requests and eligibility requirements. Once successfully registered, the student also </w:t>
      </w:r>
      <w:r>
        <w:rPr>
          <w:b/>
          <w:color w:val="222222"/>
        </w:rPr>
        <w:t xml:space="preserve">must </w:t>
      </w:r>
      <w:r>
        <w:rPr>
          <w:color w:val="222222"/>
        </w:rPr>
        <w:t>notify the course instructor that they wish to access accommodations in the course.</w:t>
      </w:r>
    </w:p>
    <w:p w14:paraId="3C9B6F1B" w14:textId="77777777" w:rsidR="001C5F45" w:rsidRDefault="00BA7F7E">
      <w:pPr>
        <w:pStyle w:val="Normal1"/>
        <w:spacing w:line="300" w:lineRule="auto"/>
        <w:ind w:left="720"/>
        <w:rPr>
          <w:color w:val="222222"/>
        </w:rPr>
      </w:pPr>
      <w:r>
        <w:rPr>
          <w:color w:val="222222"/>
        </w:rPr>
        <w:t xml:space="preserve"> </w:t>
      </w:r>
    </w:p>
    <w:p w14:paraId="32024610" w14:textId="77777777" w:rsidR="001C5F45" w:rsidRDefault="00BA7F7E">
      <w:pPr>
        <w:pStyle w:val="Normal1"/>
        <w:spacing w:line="300" w:lineRule="auto"/>
        <w:ind w:left="720"/>
      </w:pPr>
      <w:r>
        <w:rPr>
          <w:color w:val="222222"/>
        </w:rPr>
        <w:t xml:space="preserve">Please contact Disability Services, located within the Student Success Center, at </w:t>
      </w:r>
      <w:r>
        <w:rPr>
          <w:color w:val="1155CC"/>
        </w:rPr>
        <w:t>Disability_services@slu.edu</w:t>
      </w:r>
      <w:r>
        <w:t xml:space="preserve"> or </w:t>
      </w:r>
      <w:r>
        <w:rPr>
          <w:color w:val="1155CC"/>
        </w:rPr>
        <w:t>314.977.3484</w:t>
      </w:r>
      <w:r>
        <w:t xml:space="preserve"> to schedule an appointment. Confidentiality will be observed in all inquiries. Once approved, information about the student’s eligibility for academic accommodations will be shared with course instructors via email from Disability Services and viewed within Banner via the instructor’s course roster.  </w:t>
      </w:r>
    </w:p>
    <w:p w14:paraId="1C46A137" w14:textId="77777777" w:rsidR="001C5F45" w:rsidRDefault="00BA7F7E">
      <w:pPr>
        <w:pStyle w:val="Normal1"/>
        <w:spacing w:line="300" w:lineRule="auto"/>
        <w:rPr>
          <w:sz w:val="19"/>
          <w:szCs w:val="19"/>
        </w:rPr>
      </w:pPr>
      <w:r>
        <w:rPr>
          <w:sz w:val="19"/>
          <w:szCs w:val="19"/>
        </w:rPr>
        <w:t xml:space="preserve"> </w:t>
      </w:r>
    </w:p>
    <w:p w14:paraId="5CA386CE" w14:textId="77777777" w:rsidR="001C5F45" w:rsidRDefault="00BA7F7E">
      <w:pPr>
        <w:pStyle w:val="Normal1"/>
        <w:spacing w:line="300" w:lineRule="auto"/>
        <w:ind w:left="720"/>
        <w:rPr>
          <w:color w:val="222222"/>
        </w:rPr>
      </w:pPr>
      <w:r>
        <w:rPr>
          <w:color w:val="222222"/>
        </w:rPr>
        <w:t>Note: Students who do not have a documented disability but who think they may have one are encouraged to contact to Disability Services.</w:t>
      </w:r>
    </w:p>
    <w:p w14:paraId="08778626" w14:textId="77777777" w:rsidR="001C5F45" w:rsidRDefault="001C5F45">
      <w:pPr>
        <w:pStyle w:val="Normal1"/>
        <w:spacing w:after="160" w:line="300" w:lineRule="auto"/>
      </w:pPr>
    </w:p>
    <w:p w14:paraId="6C621633" w14:textId="77777777" w:rsidR="001C5F45" w:rsidRDefault="00BA7F7E">
      <w:pPr>
        <w:pStyle w:val="Normal1"/>
        <w:spacing w:after="160" w:line="300" w:lineRule="auto"/>
        <w:ind w:left="720"/>
        <w:rPr>
          <w:b/>
        </w:rPr>
      </w:pPr>
      <w:r>
        <w:rPr>
          <w:b/>
        </w:rPr>
        <w:t>SLU Student Success Center:</w:t>
      </w:r>
    </w:p>
    <w:p w14:paraId="09FA9DCA" w14:textId="77777777" w:rsidR="001C5F45" w:rsidRDefault="00BA7F7E">
      <w:pPr>
        <w:pStyle w:val="Normal1"/>
        <w:spacing w:after="160" w:line="300" w:lineRule="auto"/>
        <w:ind w:left="720"/>
      </w:pPr>
      <w:r>
        <w:t xml:space="preserve">In recognition that people learn in a variety of ways and that learning is influenced by multiple factors (e.g., prior experience, study skills, learning disability), resources to support student success are available on campus. The </w:t>
      </w:r>
      <w:hyperlink r:id="rId10">
        <w:r>
          <w:rPr>
            <w:color w:val="1155CC"/>
            <w:u w:val="single"/>
          </w:rPr>
          <w:t>Student Success Center</w:t>
        </w:r>
      </w:hyperlink>
      <w:r>
        <w:t>, a one-</w:t>
      </w:r>
      <w:r>
        <w:lastRenderedPageBreak/>
        <w:t>stop shop, which assists students with academic and career related services, is located in the Busch Student Center (Suite, 331) and the School of Nursing (Suite, 114). Students who think they might benefit from these resources can find out more about:</w:t>
      </w:r>
    </w:p>
    <w:p w14:paraId="6E83FA37" w14:textId="77777777" w:rsidR="001C5F45" w:rsidRDefault="00BA7F7E">
      <w:pPr>
        <w:pStyle w:val="Normal1"/>
        <w:numPr>
          <w:ilvl w:val="0"/>
          <w:numId w:val="2"/>
        </w:numPr>
        <w:ind w:left="1440" w:hanging="360"/>
        <w:contextualSpacing/>
      </w:pPr>
      <w:r>
        <w:t>Course-level support (e.g., faculty member, departmental resources, etc.) by asking your course instructor.</w:t>
      </w:r>
    </w:p>
    <w:p w14:paraId="5822F3C9" w14:textId="77777777" w:rsidR="001C5F45" w:rsidRDefault="00BA7F7E">
      <w:pPr>
        <w:pStyle w:val="Normal1"/>
        <w:numPr>
          <w:ilvl w:val="0"/>
          <w:numId w:val="2"/>
        </w:numPr>
        <w:ind w:left="1440" w:hanging="360"/>
        <w:contextualSpacing/>
      </w:pPr>
      <w:r>
        <w:t xml:space="preserve"> University-level support (e.g., tutoring services, university writing services, disability services, academic coaching, career services, and/or facets of curriculum planning) by visiting the Student Success Center or by going to </w:t>
      </w:r>
      <w:hyperlink r:id="rId11">
        <w:r>
          <w:rPr>
            <w:color w:val="03419C"/>
          </w:rPr>
          <w:t>www.slu.edu/success</w:t>
        </w:r>
      </w:hyperlink>
      <w:r>
        <w:t>.</w:t>
      </w:r>
    </w:p>
    <w:p w14:paraId="4FEF3DC3" w14:textId="77777777" w:rsidR="001C5F45" w:rsidRDefault="001C5F45">
      <w:pPr>
        <w:pStyle w:val="Normal1"/>
        <w:spacing w:after="160" w:line="300" w:lineRule="auto"/>
        <w:ind w:left="720"/>
        <w:rPr>
          <w:b/>
        </w:rPr>
      </w:pPr>
    </w:p>
    <w:p w14:paraId="28213037" w14:textId="77777777" w:rsidR="001C5F45" w:rsidRDefault="00BA7F7E">
      <w:pPr>
        <w:pStyle w:val="Normal1"/>
        <w:spacing w:after="160" w:line="300" w:lineRule="auto"/>
        <w:ind w:left="720"/>
        <w:rPr>
          <w:b/>
        </w:rPr>
      </w:pPr>
      <w:r>
        <w:rPr>
          <w:b/>
        </w:rPr>
        <w:t>Saint Louis University Accreditation:</w:t>
      </w:r>
    </w:p>
    <w:p w14:paraId="1C4387AC" w14:textId="77777777" w:rsidR="001C5F45" w:rsidRDefault="00BA7F7E">
      <w:pPr>
        <w:pStyle w:val="Normal1"/>
        <w:spacing w:after="160" w:line="300" w:lineRule="auto"/>
        <w:ind w:left="720"/>
        <w:rPr>
          <w:sz w:val="21"/>
          <w:szCs w:val="21"/>
          <w:highlight w:val="white"/>
        </w:rPr>
      </w:pPr>
      <w:r>
        <w:rPr>
          <w:noProof/>
        </w:rPr>
        <w:drawing>
          <wp:anchor distT="114300" distB="114300" distL="114300" distR="114300" simplePos="0" relativeHeight="251658240" behindDoc="0" locked="0" layoutInCell="1" hidden="0" allowOverlap="1" wp14:anchorId="31942459" wp14:editId="1B433F3A">
            <wp:simplePos x="0" y="0"/>
            <wp:positionH relativeFrom="margin">
              <wp:posOffset>4419600</wp:posOffset>
            </wp:positionH>
            <wp:positionV relativeFrom="paragraph">
              <wp:posOffset>133350</wp:posOffset>
            </wp:positionV>
            <wp:extent cx="1409700" cy="2206019"/>
            <wp:effectExtent l="0" t="0" r="0" b="0"/>
            <wp:wrapSquare wrapText="bothSides" distT="114300" distB="114300" distL="114300" distR="114300"/>
            <wp:docPr id="2" name="image4.png" descr="NACEP-Accredited-Vertical.png"/>
            <wp:cNvGraphicFramePr/>
            <a:graphic xmlns:a="http://schemas.openxmlformats.org/drawingml/2006/main">
              <a:graphicData uri="http://schemas.openxmlformats.org/drawingml/2006/picture">
                <pic:pic xmlns:pic="http://schemas.openxmlformats.org/drawingml/2006/picture">
                  <pic:nvPicPr>
                    <pic:cNvPr id="0" name="image4.png" descr="NACEP-Accredited-Vertical.png"/>
                    <pic:cNvPicPr preferRelativeResize="0"/>
                  </pic:nvPicPr>
                  <pic:blipFill>
                    <a:blip r:embed="rId12"/>
                    <a:srcRect/>
                    <a:stretch>
                      <a:fillRect/>
                    </a:stretch>
                  </pic:blipFill>
                  <pic:spPr>
                    <a:xfrm>
                      <a:off x="0" y="0"/>
                      <a:ext cx="1409700" cy="2206019"/>
                    </a:xfrm>
                    <a:prstGeom prst="rect">
                      <a:avLst/>
                    </a:prstGeom>
                    <a:ln/>
                  </pic:spPr>
                </pic:pic>
              </a:graphicData>
            </a:graphic>
          </wp:anchor>
        </w:drawing>
      </w:r>
    </w:p>
    <w:p w14:paraId="65B89538" w14:textId="77777777" w:rsidR="001C5F45" w:rsidRDefault="00BA7F7E">
      <w:pPr>
        <w:pStyle w:val="Normal1"/>
        <w:spacing w:after="160" w:line="300" w:lineRule="auto"/>
        <w:ind w:left="720"/>
      </w:pPr>
      <w:r>
        <w:rPr>
          <w:sz w:val="21"/>
          <w:szCs w:val="21"/>
          <w:highlight w:val="white"/>
        </w:rPr>
        <w:t xml:space="preserve">As an institution, Saint Louis University is fully accredited by the </w:t>
      </w:r>
      <w:hyperlink r:id="rId13">
        <w:r>
          <w:rPr>
            <w:color w:val="1155CC"/>
            <w:sz w:val="21"/>
            <w:szCs w:val="21"/>
            <w:highlight w:val="white"/>
            <w:u w:val="single"/>
          </w:rPr>
          <w:t>Higher Learning Commission (HLC)</w:t>
        </w:r>
      </w:hyperlink>
      <w:r>
        <w:rPr>
          <w:sz w:val="21"/>
          <w:szCs w:val="21"/>
          <w:highlight w:val="white"/>
        </w:rPr>
        <w:t>. SLU has been continuously accredited since 1916.</w:t>
      </w:r>
    </w:p>
    <w:p w14:paraId="754166F9" w14:textId="77777777" w:rsidR="001C5F45" w:rsidRDefault="00BA7F7E">
      <w:pPr>
        <w:pStyle w:val="Normal1"/>
        <w:spacing w:after="160" w:line="300" w:lineRule="auto"/>
        <w:ind w:left="720"/>
      </w:pPr>
      <w:r>
        <w:rPr>
          <w:color w:val="2B2B2B"/>
          <w:highlight w:val="white"/>
        </w:rPr>
        <w:t xml:space="preserve">Additionally, the 1818 Advanced College Credit Program is a founding and fully accredited institution of the </w:t>
      </w:r>
      <w:hyperlink r:id="rId14">
        <w:r>
          <w:rPr>
            <w:color w:val="003DA5"/>
          </w:rPr>
          <w:t>National Alliance of Concurrent Enrollment Partnerships (NACEP)</w:t>
        </w:r>
      </w:hyperlink>
      <w:r>
        <w:rPr>
          <w:color w:val="2B2B2B"/>
        </w:rPr>
        <w:t xml:space="preserve"> and, complies with both the </w:t>
      </w:r>
      <w:hyperlink r:id="rId15">
        <w:r>
          <w:rPr>
            <w:color w:val="003DA5"/>
          </w:rPr>
          <w:t>Missouri Department of Higher Education’s Dual Credit Policy (MDHE)</w:t>
        </w:r>
      </w:hyperlink>
      <w:r>
        <w:t xml:space="preserve">, </w:t>
      </w:r>
      <w:hyperlink r:id="rId16">
        <w:r>
          <w:rPr>
            <w:color w:val="003DA5"/>
          </w:rPr>
          <w:t>Illinois Board of Higher Education (IBHE) Dual Credit Task Force</w:t>
        </w:r>
      </w:hyperlink>
      <w:r>
        <w:t xml:space="preserve">, </w:t>
      </w:r>
      <w:hyperlink r:id="rId17">
        <w:r>
          <w:rPr>
            <w:color w:val="1155CC"/>
          </w:rPr>
          <w:t>Ohio College Credit Plus</w:t>
        </w:r>
      </w:hyperlink>
      <w:r>
        <w:t xml:space="preserve">, </w:t>
      </w:r>
      <w:hyperlink r:id="rId18">
        <w:r>
          <w:rPr>
            <w:color w:val="1155CC"/>
          </w:rPr>
          <w:t>Iowa Senior Plus</w:t>
        </w:r>
      </w:hyperlink>
      <w:r>
        <w:t xml:space="preserve">, and </w:t>
      </w:r>
      <w:hyperlink r:id="rId19">
        <w:r>
          <w:rPr>
            <w:color w:val="1155CC"/>
          </w:rPr>
          <w:t>State of Hawaii Dual Credit Policy</w:t>
        </w:r>
      </w:hyperlink>
      <w:r>
        <w:t xml:space="preserve">. </w:t>
      </w:r>
    </w:p>
    <w:p w14:paraId="6918524B" w14:textId="77777777" w:rsidR="001C5F45" w:rsidRDefault="001C5F45">
      <w:pPr>
        <w:pStyle w:val="Normal1"/>
        <w:spacing w:after="160" w:line="300" w:lineRule="auto"/>
        <w:ind w:left="720"/>
      </w:pPr>
    </w:p>
    <w:p w14:paraId="651A008E" w14:textId="77777777" w:rsidR="001C5F45" w:rsidRDefault="001C5F45">
      <w:pPr>
        <w:pStyle w:val="Normal1"/>
      </w:pPr>
    </w:p>
    <w:sectPr w:rsidR="001C5F45">
      <w:headerReference w:type="default" r:id="rId20"/>
      <w:footerReference w:type="default" r:id="rId21"/>
      <w:headerReference w:type="first" r:id="rId22"/>
      <w:footerReference w:type="first" r:id="rId23"/>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98910" w14:textId="77777777" w:rsidR="00006AD8" w:rsidRDefault="00006AD8">
      <w:pPr>
        <w:spacing w:line="240" w:lineRule="auto"/>
      </w:pPr>
      <w:r>
        <w:separator/>
      </w:r>
    </w:p>
  </w:endnote>
  <w:endnote w:type="continuationSeparator" w:id="0">
    <w:p w14:paraId="0B9872A0" w14:textId="77777777" w:rsidR="00006AD8" w:rsidRDefault="00006A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BE37A" w14:textId="77777777" w:rsidR="00526750" w:rsidRDefault="00526750">
    <w:pPr>
      <w:pStyle w:val="Normal1"/>
      <w:jc w:val="right"/>
    </w:pPr>
  </w:p>
  <w:p w14:paraId="4C9285FA" w14:textId="77777777" w:rsidR="00526750" w:rsidRDefault="00526750">
    <w:pPr>
      <w:pStyle w:val="Normal1"/>
      <w:jc w:val="right"/>
    </w:pPr>
  </w:p>
  <w:p w14:paraId="2C2AACAD" w14:textId="1F5F948F" w:rsidR="00526750" w:rsidRDefault="00526750">
    <w:pPr>
      <w:pStyle w:val="Normal1"/>
      <w:jc w:val="right"/>
    </w:pPr>
    <w:r>
      <w:t xml:space="preserve">Saint Louis University | 1818 Advanced College Credit Program </w:t>
    </w:r>
    <w:r>
      <w:tab/>
    </w:r>
    <w:r>
      <w:tab/>
    </w:r>
    <w:r>
      <w:tab/>
    </w:r>
    <w:r>
      <w:tab/>
      <w:t xml:space="preserve">Page </w:t>
    </w:r>
    <w:r>
      <w:fldChar w:fldCharType="begin"/>
    </w:r>
    <w:r>
      <w:instrText>PAGE</w:instrText>
    </w:r>
    <w:r>
      <w:fldChar w:fldCharType="separate"/>
    </w:r>
    <w:r w:rsidR="00490772">
      <w:rPr>
        <w:noProof/>
      </w:rPr>
      <w:t>5</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F3EB" w14:textId="77777777" w:rsidR="00526750" w:rsidRDefault="00526750">
    <w:pPr>
      <w:pStyle w:val="Normal1"/>
    </w:pPr>
  </w:p>
  <w:p w14:paraId="6C2225B5" w14:textId="77777777" w:rsidR="00526750" w:rsidRDefault="00526750">
    <w:pPr>
      <w:pStyle w:val="Normal1"/>
    </w:pPr>
  </w:p>
  <w:p w14:paraId="750D7874" w14:textId="6355CF46" w:rsidR="00526750" w:rsidRDefault="00526750">
    <w:pPr>
      <w:pStyle w:val="Normal1"/>
      <w:ind w:left="-990" w:firstLine="270"/>
      <w:jc w:val="right"/>
    </w:pPr>
    <w:r>
      <w:t xml:space="preserve">Page </w:t>
    </w:r>
    <w:r>
      <w:fldChar w:fldCharType="begin"/>
    </w:r>
    <w:r>
      <w:instrText>PAGE</w:instrText>
    </w:r>
    <w:r>
      <w:fldChar w:fldCharType="separate"/>
    </w:r>
    <w:r w:rsidR="0049077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660B3" w14:textId="77777777" w:rsidR="00006AD8" w:rsidRDefault="00006AD8">
      <w:pPr>
        <w:spacing w:line="240" w:lineRule="auto"/>
      </w:pPr>
      <w:r>
        <w:separator/>
      </w:r>
    </w:p>
  </w:footnote>
  <w:footnote w:type="continuationSeparator" w:id="0">
    <w:p w14:paraId="38D28891" w14:textId="77777777" w:rsidR="00006AD8" w:rsidRDefault="00006A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B1725" w14:textId="77777777" w:rsidR="00526750" w:rsidRDefault="00526750">
    <w:pPr>
      <w:pStyle w:val="Normal1"/>
    </w:pPr>
    <w:r>
      <w:rPr>
        <w:noProof/>
      </w:rPr>
      <w:drawing>
        <wp:anchor distT="114300" distB="114300" distL="114300" distR="114300" simplePos="0" relativeHeight="251658240" behindDoc="0" locked="0" layoutInCell="1" hidden="0" allowOverlap="1" wp14:anchorId="7827E5F3" wp14:editId="2DAD89F3">
          <wp:simplePos x="0" y="0"/>
          <wp:positionH relativeFrom="margin">
            <wp:posOffset>-114299</wp:posOffset>
          </wp:positionH>
          <wp:positionV relativeFrom="paragraph">
            <wp:posOffset>180975</wp:posOffset>
          </wp:positionV>
          <wp:extent cx="2443163" cy="650016"/>
          <wp:effectExtent l="0" t="0" r="0" b="0"/>
          <wp:wrapTopAndBottom distT="114300" distB="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2443163" cy="65001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D0D7E" w14:textId="77777777" w:rsidR="00526750" w:rsidRDefault="00526750">
    <w:pPr>
      <w:pStyle w:val="Normal1"/>
    </w:pPr>
    <w:r>
      <w:rPr>
        <w:noProof/>
      </w:rPr>
      <w:drawing>
        <wp:anchor distT="0" distB="0" distL="0" distR="0" simplePos="0" relativeHeight="251659264" behindDoc="0" locked="0" layoutInCell="1" hidden="0" allowOverlap="1" wp14:anchorId="7591EDB1" wp14:editId="7A5884E6">
          <wp:simplePos x="0" y="0"/>
          <wp:positionH relativeFrom="margin">
            <wp:posOffset>1638300</wp:posOffset>
          </wp:positionH>
          <wp:positionV relativeFrom="paragraph">
            <wp:posOffset>342900</wp:posOffset>
          </wp:positionV>
          <wp:extent cx="2673833" cy="1662113"/>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673833" cy="16621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664FFE"/>
    <w:multiLevelType w:val="hybridMultilevel"/>
    <w:tmpl w:val="AABEE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064C7C"/>
    <w:multiLevelType w:val="hybridMultilevel"/>
    <w:tmpl w:val="EA403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4B6E4A"/>
    <w:multiLevelType w:val="hybridMultilevel"/>
    <w:tmpl w:val="DAFCADB2"/>
    <w:lvl w:ilvl="0" w:tplc="04090001">
      <w:start w:val="1"/>
      <w:numFmt w:val="bullet"/>
      <w:lvlText w:val=""/>
      <w:lvlJc w:val="left"/>
      <w:pPr>
        <w:ind w:left="848" w:hanging="360"/>
      </w:pPr>
      <w:rPr>
        <w:rFonts w:ascii="Symbol" w:hAnsi="Symbol" w:hint="default"/>
      </w:rPr>
    </w:lvl>
    <w:lvl w:ilvl="1" w:tplc="04090003" w:tentative="1">
      <w:start w:val="1"/>
      <w:numFmt w:val="bullet"/>
      <w:lvlText w:val="o"/>
      <w:lvlJc w:val="left"/>
      <w:pPr>
        <w:ind w:left="1568" w:hanging="360"/>
      </w:pPr>
      <w:rPr>
        <w:rFonts w:ascii="Courier New" w:hAnsi="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4" w15:restartNumberingAfterBreak="0">
    <w:nsid w:val="34F6726F"/>
    <w:multiLevelType w:val="hybridMultilevel"/>
    <w:tmpl w:val="DCEAB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9164DD9"/>
    <w:multiLevelType w:val="multilevel"/>
    <w:tmpl w:val="8FA89D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5AD14F9B"/>
    <w:multiLevelType w:val="multilevel"/>
    <w:tmpl w:val="72F0D976"/>
    <w:lvl w:ilvl="0">
      <w:start w:val="1"/>
      <w:numFmt w:val="bullet"/>
      <w:lvlText w:val="●"/>
      <w:lvlJc w:val="left"/>
      <w:pPr>
        <w:ind w:left="720" w:firstLine="360"/>
      </w:pPr>
      <w:rPr>
        <w:rFonts w:ascii="Arial" w:eastAsia="Arial" w:hAnsi="Arial" w:cs="Arial"/>
        <w:sz w:val="21"/>
        <w:szCs w:val="21"/>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72FC0678"/>
    <w:multiLevelType w:val="hybridMultilevel"/>
    <w:tmpl w:val="CAC8E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922846"/>
    <w:multiLevelType w:val="hybridMultilevel"/>
    <w:tmpl w:val="781A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4"/>
  </w:num>
  <w:num w:numId="5">
    <w:abstractNumId w:val="2"/>
  </w:num>
  <w:num w:numId="6">
    <w:abstractNumId w:val="3"/>
  </w:num>
  <w:num w:numId="7">
    <w:abstractNumId w:val="1"/>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F45"/>
    <w:rsid w:val="00006AD8"/>
    <w:rsid w:val="00082870"/>
    <w:rsid w:val="00131D13"/>
    <w:rsid w:val="001C5F45"/>
    <w:rsid w:val="001D7A72"/>
    <w:rsid w:val="00201D55"/>
    <w:rsid w:val="002316CA"/>
    <w:rsid w:val="00242723"/>
    <w:rsid w:val="00333A41"/>
    <w:rsid w:val="003B2BB0"/>
    <w:rsid w:val="003C68A9"/>
    <w:rsid w:val="00490772"/>
    <w:rsid w:val="004B287D"/>
    <w:rsid w:val="005005F6"/>
    <w:rsid w:val="00526750"/>
    <w:rsid w:val="00536256"/>
    <w:rsid w:val="00590483"/>
    <w:rsid w:val="005A3281"/>
    <w:rsid w:val="00672BC9"/>
    <w:rsid w:val="008F71EC"/>
    <w:rsid w:val="009E1248"/>
    <w:rsid w:val="009F27F4"/>
    <w:rsid w:val="009F2B63"/>
    <w:rsid w:val="00A01B7E"/>
    <w:rsid w:val="00A57A62"/>
    <w:rsid w:val="00A8710E"/>
    <w:rsid w:val="00A96444"/>
    <w:rsid w:val="00A9663A"/>
    <w:rsid w:val="00B9709C"/>
    <w:rsid w:val="00BA7F7E"/>
    <w:rsid w:val="00C07EA4"/>
    <w:rsid w:val="00D10AB3"/>
    <w:rsid w:val="00DA11A6"/>
    <w:rsid w:val="00E326D0"/>
    <w:rsid w:val="00EC2E8E"/>
    <w:rsid w:val="00ED1DF0"/>
    <w:rsid w:val="00ED3D60"/>
    <w:rsid w:val="00EF0CBA"/>
    <w:rsid w:val="00EF2666"/>
    <w:rsid w:val="00F502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62F0C"/>
  <w15:docId w15:val="{7F64808F-411A-4793-9BF3-B4311E940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854600">
      <w:bodyDiv w:val="1"/>
      <w:marLeft w:val="0"/>
      <w:marRight w:val="0"/>
      <w:marTop w:val="0"/>
      <w:marBottom w:val="0"/>
      <w:divBdr>
        <w:top w:val="none" w:sz="0" w:space="0" w:color="auto"/>
        <w:left w:val="none" w:sz="0" w:space="0" w:color="auto"/>
        <w:bottom w:val="none" w:sz="0" w:space="0" w:color="auto"/>
        <w:right w:val="none" w:sz="0" w:space="0" w:color="auto"/>
      </w:divBdr>
    </w:div>
    <w:div w:id="970982019">
      <w:bodyDiv w:val="1"/>
      <w:marLeft w:val="0"/>
      <w:marRight w:val="0"/>
      <w:marTop w:val="0"/>
      <w:marBottom w:val="0"/>
      <w:divBdr>
        <w:top w:val="none" w:sz="0" w:space="0" w:color="auto"/>
        <w:left w:val="none" w:sz="0" w:space="0" w:color="auto"/>
        <w:bottom w:val="none" w:sz="0" w:space="0" w:color="auto"/>
        <w:right w:val="none" w:sz="0" w:space="0" w:color="auto"/>
      </w:divBdr>
    </w:div>
    <w:div w:id="1547336087">
      <w:bodyDiv w:val="1"/>
      <w:marLeft w:val="0"/>
      <w:marRight w:val="0"/>
      <w:marTop w:val="0"/>
      <w:marBottom w:val="0"/>
      <w:divBdr>
        <w:top w:val="none" w:sz="0" w:space="0" w:color="auto"/>
        <w:left w:val="none" w:sz="0" w:space="0" w:color="auto"/>
        <w:bottom w:val="none" w:sz="0" w:space="0" w:color="auto"/>
        <w:right w:val="none" w:sz="0" w:space="0" w:color="auto"/>
      </w:divBdr>
    </w:div>
    <w:div w:id="1702588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lu.edu/Documents/provost/academic_affairs/University-wide%20Academic%20Integrity%20Policy%20FINAL%20%206-26-15.pdf" TargetMode="External"/><Relationship Id="rId13" Type="http://schemas.openxmlformats.org/officeDocument/2006/relationships/hyperlink" Target="https://www.hlcommission.org" TargetMode="External"/><Relationship Id="rId18" Type="http://schemas.openxmlformats.org/officeDocument/2006/relationships/hyperlink" Target="https://www.educateiowa.gov/adult-career-and-community-college/senior-year-plus-syp"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slu.edu/1818" TargetMode="External"/><Relationship Id="rId12" Type="http://schemas.openxmlformats.org/officeDocument/2006/relationships/image" Target="media/image1.png"/><Relationship Id="rId17" Type="http://schemas.openxmlformats.org/officeDocument/2006/relationships/hyperlink" Target="http://education.ohio.gov/Topics/Quality-School-Choice/College-Credit-Plu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bhe.org/DualCredit/default.ht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lu.edu/succes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he.mo.gov/policies/documents/CBHEPolicyonDualCreditJune2015.pdf" TargetMode="External"/><Relationship Id="rId23" Type="http://schemas.openxmlformats.org/officeDocument/2006/relationships/footer" Target="footer2.xml"/><Relationship Id="rId10" Type="http://schemas.openxmlformats.org/officeDocument/2006/relationships/hyperlink" Target="http://www.slu.edu/success" TargetMode="External"/><Relationship Id="rId19" Type="http://schemas.openxmlformats.org/officeDocument/2006/relationships/hyperlink" Target="http://ecs.force.com/mbdata/mbstprofexcL?Rep=DC15P&amp;st=Hawaii" TargetMode="External"/><Relationship Id="rId4" Type="http://schemas.openxmlformats.org/officeDocument/2006/relationships/webSettings" Target="webSettings.xml"/><Relationship Id="rId9" Type="http://schemas.openxmlformats.org/officeDocument/2006/relationships/hyperlink" Target="http://www.slu.edu/college-of-arts-and-sciences-home/undergraduate-students/academic-honesty" TargetMode="External"/><Relationship Id="rId14" Type="http://schemas.openxmlformats.org/officeDocument/2006/relationships/hyperlink" Target="http://nacep.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dc:creator>
  <cp:lastModifiedBy>Jennie</cp:lastModifiedBy>
  <cp:revision>2</cp:revision>
  <dcterms:created xsi:type="dcterms:W3CDTF">2018-03-16T21:20:00Z</dcterms:created>
  <dcterms:modified xsi:type="dcterms:W3CDTF">2018-03-16T21:20:00Z</dcterms:modified>
</cp:coreProperties>
</file>