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C48EA" w14:textId="77777777" w:rsidR="00D16AF6" w:rsidRPr="00396CDF" w:rsidRDefault="00D16AF6" w:rsidP="00D16AF6">
      <w:pPr>
        <w:jc w:val="center"/>
        <w:rPr>
          <w:rFonts w:ascii="Times New Roman" w:hAnsi="Times New Roman" w:cs="Times New Roman"/>
          <w:b/>
        </w:rPr>
      </w:pPr>
      <w:bookmarkStart w:id="0" w:name="_GoBack"/>
      <w:bookmarkEnd w:id="0"/>
      <w:r w:rsidRPr="00396CDF">
        <w:rPr>
          <w:rFonts w:ascii="Times New Roman" w:hAnsi="Times New Roman" w:cs="Times New Roman"/>
          <w:b/>
        </w:rPr>
        <w:t>The National Concurrent Enrollment Partnership Study: Determining the Impact of Quality Concurrent Enrollment Courses</w:t>
      </w:r>
    </w:p>
    <w:p w14:paraId="07386FD7" w14:textId="77777777" w:rsidR="0028073A" w:rsidRPr="00396CDF" w:rsidRDefault="0028073A" w:rsidP="00092B64">
      <w:pPr>
        <w:rPr>
          <w:rFonts w:ascii="Times New Roman" w:hAnsi="Times New Roman" w:cs="Times New Roman"/>
        </w:rPr>
      </w:pPr>
    </w:p>
    <w:p w14:paraId="17B926E8" w14:textId="77777777" w:rsidR="00917113" w:rsidRPr="00396CDF" w:rsidRDefault="00917113" w:rsidP="00092B64">
      <w:pPr>
        <w:rPr>
          <w:rFonts w:ascii="Times New Roman" w:hAnsi="Times New Roman" w:cs="Times New Roman"/>
        </w:rPr>
      </w:pPr>
    </w:p>
    <w:p w14:paraId="34AC9C0F" w14:textId="5CEBCAFB" w:rsidR="00917113" w:rsidRPr="00396CDF" w:rsidRDefault="00917113" w:rsidP="00E619F6">
      <w:pPr>
        <w:jc w:val="center"/>
        <w:rPr>
          <w:rFonts w:ascii="Times New Roman" w:hAnsi="Times New Roman" w:cs="Times New Roman"/>
          <w:b/>
        </w:rPr>
      </w:pPr>
      <w:r w:rsidRPr="00396CDF">
        <w:rPr>
          <w:rFonts w:ascii="Times New Roman" w:hAnsi="Times New Roman" w:cs="Times New Roman"/>
          <w:b/>
        </w:rPr>
        <w:t>ABSTRACT</w:t>
      </w:r>
    </w:p>
    <w:p w14:paraId="3516544B" w14:textId="77777777" w:rsidR="00917113" w:rsidRPr="00396CDF" w:rsidRDefault="00917113" w:rsidP="00092B64">
      <w:pPr>
        <w:rPr>
          <w:rFonts w:ascii="Times New Roman" w:hAnsi="Times New Roman" w:cs="Times New Roman"/>
        </w:rPr>
      </w:pPr>
    </w:p>
    <w:p w14:paraId="1B2735D1" w14:textId="6E7E80EF" w:rsidR="002B33AD" w:rsidRPr="00396CDF" w:rsidRDefault="00DA6A1C" w:rsidP="00092B64">
      <w:pPr>
        <w:rPr>
          <w:rFonts w:ascii="Times New Roman" w:hAnsi="Times New Roman" w:cs="Times New Roman"/>
        </w:rPr>
      </w:pPr>
      <w:r w:rsidRPr="00396CDF">
        <w:rPr>
          <w:rFonts w:ascii="Times New Roman" w:hAnsi="Times New Roman" w:cs="Times New Roman"/>
        </w:rPr>
        <w:t>This study is proposed as a two-phase study that examines the effect of quality concurrent enrollment on students’ postsecondary academic success using a sample from colleges and universities across the United States</w:t>
      </w:r>
      <w:r w:rsidR="00BA14A9" w:rsidRPr="00396CDF">
        <w:rPr>
          <w:rFonts w:ascii="Times New Roman" w:hAnsi="Times New Roman" w:cs="Times New Roman"/>
        </w:rPr>
        <w:t xml:space="preserve">. </w:t>
      </w:r>
      <w:r w:rsidR="00637AE3" w:rsidRPr="00396CDF">
        <w:rPr>
          <w:rFonts w:ascii="Times New Roman" w:hAnsi="Times New Roman" w:cs="Times New Roman"/>
        </w:rPr>
        <w:t>In this study, ‘q</w:t>
      </w:r>
      <w:r w:rsidR="00BA14A9" w:rsidRPr="00396CDF">
        <w:rPr>
          <w:rFonts w:ascii="Times New Roman" w:hAnsi="Times New Roman" w:cs="Times New Roman"/>
        </w:rPr>
        <w:t>uality’ concurrent enrollment means institutions that are accredited by the National Alliance for Concurrent Enrollment Partnerships (NACEP) and meet NACEP accreditation standards</w:t>
      </w:r>
      <w:r w:rsidRPr="00396CDF">
        <w:rPr>
          <w:rFonts w:ascii="Times New Roman" w:hAnsi="Times New Roman" w:cs="Times New Roman"/>
        </w:rPr>
        <w:t xml:space="preserve">. </w:t>
      </w:r>
      <w:r w:rsidR="002B33AD" w:rsidRPr="00396CDF">
        <w:rPr>
          <w:rFonts w:ascii="Times New Roman" w:hAnsi="Times New Roman" w:cs="Times New Roman"/>
        </w:rPr>
        <w:t xml:space="preserve">The first phase </w:t>
      </w:r>
      <w:r w:rsidR="00637AE3" w:rsidRPr="00396CDF">
        <w:rPr>
          <w:rFonts w:ascii="Times New Roman" w:hAnsi="Times New Roman" w:cs="Times New Roman"/>
        </w:rPr>
        <w:t xml:space="preserve">of the study </w:t>
      </w:r>
      <w:r w:rsidR="002B33AD" w:rsidRPr="00396CDF">
        <w:rPr>
          <w:rFonts w:ascii="Times New Roman" w:hAnsi="Times New Roman" w:cs="Times New Roman"/>
        </w:rPr>
        <w:t xml:space="preserve">is a retrospective study using historical data </w:t>
      </w:r>
      <w:r w:rsidR="002A3359" w:rsidRPr="00396CDF">
        <w:rPr>
          <w:rFonts w:ascii="Times New Roman" w:hAnsi="Times New Roman" w:cs="Times New Roman"/>
        </w:rPr>
        <w:t xml:space="preserve">and the second phase is a </w:t>
      </w:r>
      <w:r w:rsidR="001E2975" w:rsidRPr="00396CDF">
        <w:rPr>
          <w:rFonts w:ascii="Times New Roman" w:hAnsi="Times New Roman" w:cs="Times New Roman"/>
        </w:rPr>
        <w:t xml:space="preserve">prospective study that </w:t>
      </w:r>
      <w:r w:rsidR="00CC2997" w:rsidRPr="00396CDF">
        <w:rPr>
          <w:rFonts w:ascii="Times New Roman" w:hAnsi="Times New Roman" w:cs="Times New Roman"/>
        </w:rPr>
        <w:t xml:space="preserve">longitudinally </w:t>
      </w:r>
      <w:r w:rsidR="001E2975" w:rsidRPr="00396CDF">
        <w:rPr>
          <w:rFonts w:ascii="Times New Roman" w:hAnsi="Times New Roman" w:cs="Times New Roman"/>
        </w:rPr>
        <w:t xml:space="preserve">follows a </w:t>
      </w:r>
      <w:r w:rsidR="00C84CA3" w:rsidRPr="00396CDF">
        <w:rPr>
          <w:rFonts w:ascii="Times New Roman" w:hAnsi="Times New Roman" w:cs="Times New Roman"/>
        </w:rPr>
        <w:t xml:space="preserve">2014 </w:t>
      </w:r>
      <w:r w:rsidR="001E2975" w:rsidRPr="00396CDF">
        <w:rPr>
          <w:rFonts w:ascii="Times New Roman" w:hAnsi="Times New Roman" w:cs="Times New Roman"/>
        </w:rPr>
        <w:t xml:space="preserve">cohort of </w:t>
      </w:r>
      <w:r w:rsidR="00CC2997" w:rsidRPr="00396CDF">
        <w:rPr>
          <w:rFonts w:ascii="Times New Roman" w:hAnsi="Times New Roman" w:cs="Times New Roman"/>
        </w:rPr>
        <w:t xml:space="preserve">high </w:t>
      </w:r>
      <w:r w:rsidR="00C84CA3" w:rsidRPr="00396CDF">
        <w:rPr>
          <w:rFonts w:ascii="Times New Roman" w:hAnsi="Times New Roman" w:cs="Times New Roman"/>
        </w:rPr>
        <w:t>school</w:t>
      </w:r>
      <w:r w:rsidR="001E2975" w:rsidRPr="00396CDF">
        <w:rPr>
          <w:rFonts w:ascii="Times New Roman" w:hAnsi="Times New Roman" w:cs="Times New Roman"/>
        </w:rPr>
        <w:t xml:space="preserve"> </w:t>
      </w:r>
      <w:r w:rsidR="00C84CA3" w:rsidRPr="00396CDF">
        <w:rPr>
          <w:rFonts w:ascii="Times New Roman" w:hAnsi="Times New Roman" w:cs="Times New Roman"/>
        </w:rPr>
        <w:t xml:space="preserve">juniors through their first year of </w:t>
      </w:r>
      <w:r w:rsidR="001E2975" w:rsidRPr="00396CDF">
        <w:rPr>
          <w:rFonts w:ascii="Times New Roman" w:hAnsi="Times New Roman" w:cs="Times New Roman"/>
        </w:rPr>
        <w:t>postsecondary education</w:t>
      </w:r>
      <w:r w:rsidR="00CC2997" w:rsidRPr="00396CDF">
        <w:rPr>
          <w:rFonts w:ascii="Times New Roman" w:hAnsi="Times New Roman" w:cs="Times New Roman"/>
        </w:rPr>
        <w:t xml:space="preserve">; the second phase also includes a case study of </w:t>
      </w:r>
      <w:r w:rsidR="00637AE3" w:rsidRPr="00396CDF">
        <w:rPr>
          <w:rFonts w:ascii="Times New Roman" w:hAnsi="Times New Roman" w:cs="Times New Roman"/>
        </w:rPr>
        <w:t xml:space="preserve">two </w:t>
      </w:r>
      <w:r w:rsidR="00CC2997" w:rsidRPr="00396CDF">
        <w:rPr>
          <w:rFonts w:ascii="Times New Roman" w:hAnsi="Times New Roman" w:cs="Times New Roman"/>
        </w:rPr>
        <w:t>quality concurrent enrollment</w:t>
      </w:r>
      <w:r w:rsidR="00DA2DDB" w:rsidRPr="00396CDF">
        <w:rPr>
          <w:rFonts w:ascii="Times New Roman" w:hAnsi="Times New Roman" w:cs="Times New Roman"/>
        </w:rPr>
        <w:t xml:space="preserve"> programs</w:t>
      </w:r>
      <w:r w:rsidR="00CC2997" w:rsidRPr="00396CDF">
        <w:rPr>
          <w:rFonts w:ascii="Times New Roman" w:hAnsi="Times New Roman" w:cs="Times New Roman"/>
        </w:rPr>
        <w:t xml:space="preserve">. </w:t>
      </w:r>
      <w:r w:rsidR="001E2975" w:rsidRPr="00396CDF">
        <w:rPr>
          <w:rFonts w:ascii="Times New Roman" w:hAnsi="Times New Roman" w:cs="Times New Roman"/>
        </w:rPr>
        <w:t xml:space="preserve"> </w:t>
      </w:r>
    </w:p>
    <w:p w14:paraId="15C434CA" w14:textId="77777777" w:rsidR="00DA6A1C" w:rsidRPr="00396CDF" w:rsidRDefault="00DA6A1C" w:rsidP="00092B64">
      <w:pPr>
        <w:rPr>
          <w:rFonts w:ascii="Times New Roman" w:hAnsi="Times New Roman" w:cs="Times New Roman"/>
        </w:rPr>
      </w:pPr>
    </w:p>
    <w:p w14:paraId="2329EB2C" w14:textId="77777777" w:rsidR="001E2975" w:rsidRPr="00396CDF" w:rsidRDefault="001E2975" w:rsidP="00092B64">
      <w:pPr>
        <w:rPr>
          <w:rFonts w:ascii="Times New Roman" w:hAnsi="Times New Roman" w:cs="Times New Roman"/>
        </w:rPr>
      </w:pPr>
    </w:p>
    <w:p w14:paraId="5ABC616D" w14:textId="1FDCAD0C" w:rsidR="00917113" w:rsidRPr="00396CDF" w:rsidRDefault="001E2975" w:rsidP="00E619F6">
      <w:pPr>
        <w:jc w:val="center"/>
        <w:rPr>
          <w:rFonts w:ascii="Times New Roman" w:hAnsi="Times New Roman" w:cs="Times New Roman"/>
          <w:b/>
        </w:rPr>
      </w:pPr>
      <w:r w:rsidRPr="00396CDF">
        <w:rPr>
          <w:rFonts w:ascii="Times New Roman" w:hAnsi="Times New Roman" w:cs="Times New Roman"/>
          <w:b/>
        </w:rPr>
        <w:t>BACKGROUND</w:t>
      </w:r>
      <w:r w:rsidR="00917113" w:rsidRPr="00396CDF">
        <w:rPr>
          <w:rFonts w:ascii="Times New Roman" w:hAnsi="Times New Roman" w:cs="Times New Roman"/>
          <w:b/>
        </w:rPr>
        <w:t xml:space="preserve">, </w:t>
      </w:r>
      <w:r w:rsidR="001F5F3C" w:rsidRPr="00396CDF">
        <w:rPr>
          <w:rFonts w:ascii="Times New Roman" w:hAnsi="Times New Roman" w:cs="Times New Roman"/>
          <w:b/>
        </w:rPr>
        <w:t>PURPOSE</w:t>
      </w:r>
      <w:r w:rsidR="00917113" w:rsidRPr="00396CDF">
        <w:rPr>
          <w:rFonts w:ascii="Times New Roman" w:hAnsi="Times New Roman" w:cs="Times New Roman"/>
          <w:b/>
        </w:rPr>
        <w:t xml:space="preserve"> AND RATIONALE</w:t>
      </w:r>
    </w:p>
    <w:p w14:paraId="346E62BA" w14:textId="7E3100B3" w:rsidR="001E2975" w:rsidRPr="00396CDF" w:rsidRDefault="001E2975" w:rsidP="00092B64">
      <w:pPr>
        <w:rPr>
          <w:rFonts w:ascii="Times New Roman" w:hAnsi="Times New Roman" w:cs="Times New Roman"/>
        </w:rPr>
      </w:pPr>
      <w:r w:rsidRPr="00396CDF">
        <w:rPr>
          <w:rFonts w:ascii="Times New Roman" w:hAnsi="Times New Roman" w:cs="Times New Roman"/>
        </w:rPr>
        <w:t>As the number of high school students participating taking college-level courses (referred to as ‘concurrent enrollment’) has increased in the past decade (</w:t>
      </w:r>
      <w:r w:rsidR="00057862" w:rsidRPr="00396CDF">
        <w:rPr>
          <w:rFonts w:ascii="Times New Roman" w:hAnsi="Times New Roman" w:cs="Times New Roman"/>
        </w:rPr>
        <w:t>Waits, Setzer, &amp; Lewis, 2005; Thomas, Marken, Gray, &amp; Lewis, 2013</w:t>
      </w:r>
      <w:r w:rsidRPr="00396CDF">
        <w:rPr>
          <w:rFonts w:ascii="Times New Roman" w:hAnsi="Times New Roman" w:cs="Times New Roman"/>
        </w:rPr>
        <w:t>), so has interest in the quality of concurrent enrollment courses. Those critical of the quality of concurrent enrollment sugg</w:t>
      </w:r>
      <w:r w:rsidR="00057862" w:rsidRPr="00396CDF">
        <w:rPr>
          <w:rFonts w:ascii="Times New Roman" w:hAnsi="Times New Roman" w:cs="Times New Roman"/>
        </w:rPr>
        <w:t xml:space="preserve">est that these courses are less </w:t>
      </w:r>
      <w:r w:rsidRPr="00396CDF">
        <w:rPr>
          <w:rFonts w:ascii="Times New Roman" w:hAnsi="Times New Roman" w:cs="Times New Roman"/>
        </w:rPr>
        <w:t>rigor</w:t>
      </w:r>
      <w:r w:rsidR="00057862" w:rsidRPr="00396CDF">
        <w:rPr>
          <w:rFonts w:ascii="Times New Roman" w:hAnsi="Times New Roman" w:cs="Times New Roman"/>
        </w:rPr>
        <w:t xml:space="preserve">ous than college-level courses or they </w:t>
      </w:r>
      <w:r w:rsidRPr="00396CDF">
        <w:rPr>
          <w:rFonts w:ascii="Times New Roman" w:hAnsi="Times New Roman" w:cs="Times New Roman"/>
        </w:rPr>
        <w:t>do not provide students with an authentic college experiences</w:t>
      </w:r>
      <w:r w:rsidR="00057862" w:rsidRPr="00396CDF">
        <w:rPr>
          <w:rFonts w:ascii="Times New Roman" w:hAnsi="Times New Roman" w:cs="Times New Roman"/>
        </w:rPr>
        <w:t xml:space="preserve"> (Andrews, 2000; Boswell, 2001; Clark, 2001; Windham, 1997)</w:t>
      </w:r>
      <w:r w:rsidR="00DC31E7" w:rsidRPr="00396CDF">
        <w:rPr>
          <w:rFonts w:ascii="Times New Roman" w:hAnsi="Times New Roman" w:cs="Times New Roman"/>
        </w:rPr>
        <w:t xml:space="preserve">. Most of these claims are not empirically supported and based only on anecdotal </w:t>
      </w:r>
      <w:r w:rsidR="00CA4178" w:rsidRPr="00396CDF">
        <w:rPr>
          <w:rFonts w:ascii="Times New Roman" w:hAnsi="Times New Roman" w:cs="Times New Roman"/>
        </w:rPr>
        <w:t>evidence;</w:t>
      </w:r>
      <w:r w:rsidR="00DC31E7" w:rsidRPr="00396CDF">
        <w:rPr>
          <w:rFonts w:ascii="Times New Roman" w:hAnsi="Times New Roman" w:cs="Times New Roman"/>
        </w:rPr>
        <w:t xml:space="preserve"> yet there is legitimate educational interest that concurrent enrollment provide students with a high-quality experience. </w:t>
      </w:r>
      <w:r w:rsidR="006E0B2A" w:rsidRPr="00396CDF">
        <w:rPr>
          <w:rFonts w:ascii="Times New Roman" w:hAnsi="Times New Roman" w:cs="Times New Roman"/>
        </w:rPr>
        <w:t>The quality of concurrent enrollment courses is particularly relevant</w:t>
      </w:r>
      <w:r w:rsidR="00DC31E7" w:rsidRPr="00396CDF">
        <w:rPr>
          <w:rFonts w:ascii="Times New Roman" w:hAnsi="Times New Roman" w:cs="Times New Roman"/>
        </w:rPr>
        <w:t xml:space="preserve"> if colleges and universities expect concurrent enrollment students to </w:t>
      </w:r>
      <w:r w:rsidR="00E72288" w:rsidRPr="00396CDF">
        <w:rPr>
          <w:rFonts w:ascii="Times New Roman" w:hAnsi="Times New Roman" w:cs="Times New Roman"/>
        </w:rPr>
        <w:t>achieve</w:t>
      </w:r>
      <w:r w:rsidR="00DC31E7" w:rsidRPr="00396CDF">
        <w:rPr>
          <w:rFonts w:ascii="Times New Roman" w:hAnsi="Times New Roman" w:cs="Times New Roman"/>
        </w:rPr>
        <w:t xml:space="preserve"> certain learning outcomes, have specific knowledge and skills, or be proficient in a particular content area that will enable student</w:t>
      </w:r>
      <w:r w:rsidR="00E72288" w:rsidRPr="00396CDF">
        <w:rPr>
          <w:rFonts w:ascii="Times New Roman" w:hAnsi="Times New Roman" w:cs="Times New Roman"/>
        </w:rPr>
        <w:t>s</w:t>
      </w:r>
      <w:r w:rsidR="00DC31E7" w:rsidRPr="00396CDF">
        <w:rPr>
          <w:rFonts w:ascii="Times New Roman" w:hAnsi="Times New Roman" w:cs="Times New Roman"/>
        </w:rPr>
        <w:t xml:space="preserve"> to be successful in subsequent college courses once they matriculate to college. </w:t>
      </w:r>
    </w:p>
    <w:p w14:paraId="07F268C5" w14:textId="77777777" w:rsidR="00917113" w:rsidRPr="00396CDF" w:rsidRDefault="00917113" w:rsidP="00092B64">
      <w:pPr>
        <w:rPr>
          <w:rFonts w:ascii="Times New Roman" w:hAnsi="Times New Roman" w:cs="Times New Roman"/>
        </w:rPr>
      </w:pPr>
    </w:p>
    <w:p w14:paraId="45C5C810" w14:textId="79A9FCB1" w:rsidR="00E72288" w:rsidRPr="00396CDF" w:rsidRDefault="00E72288" w:rsidP="00E72288">
      <w:pPr>
        <w:rPr>
          <w:rFonts w:ascii="Times New Roman" w:eastAsia="Times New Roman" w:hAnsi="Times New Roman" w:cs="Times New Roman"/>
          <w:shd w:val="clear" w:color="auto" w:fill="FFFFFF"/>
        </w:rPr>
      </w:pPr>
      <w:r w:rsidRPr="00396CDF">
        <w:rPr>
          <w:rFonts w:ascii="Times New Roman" w:hAnsi="Times New Roman" w:cs="Times New Roman"/>
        </w:rPr>
        <w:t xml:space="preserve">The desire to offer high quality concurrent enrollment courses is the fundamental mission </w:t>
      </w:r>
      <w:proofErr w:type="gramStart"/>
      <w:r w:rsidRPr="00396CDF">
        <w:rPr>
          <w:rFonts w:ascii="Times New Roman" w:hAnsi="Times New Roman" w:cs="Times New Roman"/>
        </w:rPr>
        <w:t>and</w:t>
      </w:r>
      <w:proofErr w:type="gramEnd"/>
      <w:r w:rsidRPr="00396CDF">
        <w:rPr>
          <w:rFonts w:ascii="Times New Roman" w:hAnsi="Times New Roman" w:cs="Times New Roman"/>
        </w:rPr>
        <w:t xml:space="preserve"> purpose of the National Alliance for Concurrent Enrollment Partnerships (NACEP).  NACEP is a voluntary accreditation association for concurrent partnership that “</w:t>
      </w:r>
      <w:r w:rsidRPr="00396CDF">
        <w:rPr>
          <w:rFonts w:ascii="Times New Roman" w:eastAsia="Times New Roman" w:hAnsi="Times New Roman" w:cs="Times New Roman"/>
          <w:shd w:val="clear" w:color="auto" w:fill="FFFFFF"/>
        </w:rPr>
        <w:t>helps these programs [concurrent enrollment programs] adhere to the highest standards so students experience a seamless transition to college and teachers benefit from meaningful, ongoing professional development.”</w:t>
      </w:r>
      <w:r w:rsidR="00B077AF" w:rsidRPr="00396CDF">
        <w:rPr>
          <w:rFonts w:ascii="Times New Roman" w:eastAsia="Times New Roman" w:hAnsi="Times New Roman" w:cs="Times New Roman"/>
          <w:shd w:val="clear" w:color="auto" w:fill="FFFFFF"/>
        </w:rPr>
        <w:t xml:space="preserve"> Since it was formed in 1997, NACEP’s membership has grown and now more than 80 college and high school partnerships are accredited and have been deemed to meet NACEP’</w:t>
      </w:r>
      <w:r w:rsidR="00341CDD" w:rsidRPr="00396CDF">
        <w:rPr>
          <w:rFonts w:ascii="Times New Roman" w:eastAsia="Times New Roman" w:hAnsi="Times New Roman" w:cs="Times New Roman"/>
          <w:shd w:val="clear" w:color="auto" w:fill="FFFFFF"/>
        </w:rPr>
        <w:t xml:space="preserve">s quality standards. </w:t>
      </w:r>
      <w:r w:rsidR="00DD4B58" w:rsidRPr="00396CDF">
        <w:rPr>
          <w:rFonts w:ascii="Times New Roman" w:eastAsia="Times New Roman" w:hAnsi="Times New Roman" w:cs="Times New Roman"/>
          <w:shd w:val="clear" w:color="auto" w:fill="FFFFFF"/>
        </w:rPr>
        <w:t xml:space="preserve">Although NACEP’s influence has expanded to a national network of concurrent enrollment partnerships, a multi-institutional study examining the impact of high quality concurrent enrollment has yet to be conducted. </w:t>
      </w:r>
    </w:p>
    <w:p w14:paraId="09501C2C" w14:textId="77777777" w:rsidR="00917113" w:rsidRPr="00396CDF" w:rsidRDefault="00917113" w:rsidP="00E72288">
      <w:pPr>
        <w:rPr>
          <w:rFonts w:ascii="Times New Roman" w:eastAsia="Times New Roman" w:hAnsi="Times New Roman" w:cs="Times New Roman"/>
          <w:shd w:val="clear" w:color="auto" w:fill="FFFFFF"/>
        </w:rPr>
      </w:pPr>
    </w:p>
    <w:p w14:paraId="503BAA22" w14:textId="3BB5588F" w:rsidR="0014419E" w:rsidRPr="00396CDF" w:rsidRDefault="00310F5F" w:rsidP="00E72288">
      <w:pPr>
        <w:rPr>
          <w:rFonts w:ascii="Times New Roman" w:eastAsia="Times New Roman" w:hAnsi="Times New Roman" w:cs="Times New Roman"/>
          <w:shd w:val="clear" w:color="auto" w:fill="FFFFFF"/>
        </w:rPr>
      </w:pPr>
      <w:r w:rsidRPr="00396CDF">
        <w:rPr>
          <w:rFonts w:ascii="Times New Roman" w:eastAsia="Times New Roman" w:hAnsi="Times New Roman" w:cs="Times New Roman"/>
          <w:shd w:val="clear" w:color="auto" w:fill="FFFFFF"/>
        </w:rPr>
        <w:lastRenderedPageBreak/>
        <w:t>An accredited NAC</w:t>
      </w:r>
      <w:r w:rsidR="00CA4178" w:rsidRPr="00396CDF">
        <w:rPr>
          <w:rFonts w:ascii="Times New Roman" w:eastAsia="Times New Roman" w:hAnsi="Times New Roman" w:cs="Times New Roman"/>
          <w:shd w:val="clear" w:color="auto" w:fill="FFFFFF"/>
        </w:rPr>
        <w:t>E</w:t>
      </w:r>
      <w:r w:rsidRPr="00396CDF">
        <w:rPr>
          <w:rFonts w:ascii="Times New Roman" w:eastAsia="Times New Roman" w:hAnsi="Times New Roman" w:cs="Times New Roman"/>
          <w:shd w:val="clear" w:color="auto" w:fill="FFFFFF"/>
        </w:rPr>
        <w:t>P</w:t>
      </w:r>
      <w:r w:rsidR="00CA4178" w:rsidRPr="00396CDF">
        <w:rPr>
          <w:rFonts w:ascii="Times New Roman" w:eastAsia="Times New Roman" w:hAnsi="Times New Roman" w:cs="Times New Roman"/>
          <w:shd w:val="clear" w:color="auto" w:fill="FFFFFF"/>
        </w:rPr>
        <w:t xml:space="preserve"> program is responsible for meeting and adhering to NACEP’s quality standards related to</w:t>
      </w:r>
      <w:r w:rsidR="00057862" w:rsidRPr="00396CDF">
        <w:rPr>
          <w:rFonts w:ascii="Times New Roman" w:eastAsia="Times New Roman" w:hAnsi="Times New Roman" w:cs="Times New Roman"/>
          <w:shd w:val="clear" w:color="auto" w:fill="FFFFFF"/>
        </w:rPr>
        <w:t xml:space="preserve"> curriculum, faculty, students, assessment, and program evaluation</w:t>
      </w:r>
      <w:r w:rsidR="00CA4178" w:rsidRPr="00396CDF">
        <w:rPr>
          <w:rFonts w:ascii="Times New Roman" w:eastAsia="Times New Roman" w:hAnsi="Times New Roman" w:cs="Times New Roman"/>
          <w:shd w:val="clear" w:color="auto" w:fill="FFFFFF"/>
        </w:rPr>
        <w:t xml:space="preserve">. Meeting these quality standards </w:t>
      </w:r>
      <w:r w:rsidR="00057862" w:rsidRPr="00396CDF">
        <w:rPr>
          <w:rFonts w:ascii="Times New Roman" w:eastAsia="Times New Roman" w:hAnsi="Times New Roman" w:cs="Times New Roman"/>
          <w:shd w:val="clear" w:color="auto" w:fill="FFFFFF"/>
        </w:rPr>
        <w:t xml:space="preserve">may require </w:t>
      </w:r>
      <w:r w:rsidR="00CA4178" w:rsidRPr="00396CDF">
        <w:rPr>
          <w:rFonts w:ascii="Times New Roman" w:eastAsia="Times New Roman" w:hAnsi="Times New Roman" w:cs="Times New Roman"/>
          <w:shd w:val="clear" w:color="auto" w:fill="FFFFFF"/>
        </w:rPr>
        <w:t>concurrent enrollment partnerships to invest in new resources, implement new processes and procedures, and make an institutional commitment to accreditation standards. From an assessment and</w:t>
      </w:r>
      <w:r w:rsidR="00BA4FF7" w:rsidRPr="00396CDF">
        <w:rPr>
          <w:rFonts w:ascii="Times New Roman" w:eastAsia="Times New Roman" w:hAnsi="Times New Roman" w:cs="Times New Roman"/>
          <w:shd w:val="clear" w:color="auto" w:fill="FFFFFF"/>
        </w:rPr>
        <w:t xml:space="preserve"> evaluation perspective</w:t>
      </w:r>
      <w:r w:rsidR="00CA4178" w:rsidRPr="00396CDF">
        <w:rPr>
          <w:rFonts w:ascii="Times New Roman" w:eastAsia="Times New Roman" w:hAnsi="Times New Roman" w:cs="Times New Roman"/>
          <w:shd w:val="clear" w:color="auto" w:fill="FFFFFF"/>
        </w:rPr>
        <w:t xml:space="preserve">, </w:t>
      </w:r>
      <w:r w:rsidR="0014419E" w:rsidRPr="00396CDF">
        <w:rPr>
          <w:rFonts w:ascii="Times New Roman" w:eastAsia="Times New Roman" w:hAnsi="Times New Roman" w:cs="Times New Roman"/>
          <w:shd w:val="clear" w:color="auto" w:fill="FFFFFF"/>
        </w:rPr>
        <w:t xml:space="preserve">the investment in NACEP accreditation raises a question about the value of NACEP accreditation. </w:t>
      </w:r>
      <w:r w:rsidR="00057862" w:rsidRPr="00396CDF">
        <w:rPr>
          <w:rFonts w:ascii="Times New Roman" w:eastAsia="Times New Roman" w:hAnsi="Times New Roman" w:cs="Times New Roman"/>
          <w:shd w:val="clear" w:color="auto" w:fill="FFFFFF"/>
        </w:rPr>
        <w:t xml:space="preserve">That is, what is the “value added” of </w:t>
      </w:r>
      <w:r w:rsidR="00BA4FF7" w:rsidRPr="00396CDF">
        <w:rPr>
          <w:rFonts w:ascii="Times New Roman" w:eastAsia="Times New Roman" w:hAnsi="Times New Roman" w:cs="Times New Roman"/>
          <w:shd w:val="clear" w:color="auto" w:fill="FFFFFF"/>
        </w:rPr>
        <w:t xml:space="preserve">being NACEP accredited? </w:t>
      </w:r>
      <w:r w:rsidR="0014419E" w:rsidRPr="00396CDF">
        <w:rPr>
          <w:rFonts w:ascii="Times New Roman" w:eastAsia="Times New Roman" w:hAnsi="Times New Roman" w:cs="Times New Roman"/>
          <w:shd w:val="clear" w:color="auto" w:fill="FFFFFF"/>
        </w:rPr>
        <w:t xml:space="preserve">From a quality perspective, there is inherently value in the accreditation process as a continuous </w:t>
      </w:r>
      <w:r w:rsidR="00AD0598" w:rsidRPr="00396CDF">
        <w:rPr>
          <w:rFonts w:ascii="Times New Roman" w:eastAsia="Times New Roman" w:hAnsi="Times New Roman" w:cs="Times New Roman"/>
          <w:shd w:val="clear" w:color="auto" w:fill="FFFFFF"/>
        </w:rPr>
        <w:t xml:space="preserve">quality </w:t>
      </w:r>
      <w:r w:rsidR="0014419E" w:rsidRPr="00396CDF">
        <w:rPr>
          <w:rFonts w:ascii="Times New Roman" w:eastAsia="Times New Roman" w:hAnsi="Times New Roman" w:cs="Times New Roman"/>
          <w:shd w:val="clear" w:color="auto" w:fill="FFFFFF"/>
        </w:rPr>
        <w:t xml:space="preserve">improvement process. However, there is significant interest in the extent to which the benefits of NACEP accreditation are realized for the intended beneficiaries of concurrent enrollment: students. </w:t>
      </w:r>
      <w:r w:rsidR="00AD0598" w:rsidRPr="00396CDF">
        <w:rPr>
          <w:rFonts w:ascii="Times New Roman" w:eastAsia="Times New Roman" w:hAnsi="Times New Roman" w:cs="Times New Roman"/>
          <w:shd w:val="clear" w:color="auto" w:fill="FFFFFF"/>
        </w:rPr>
        <w:t xml:space="preserve">This is especially relevant in the policy context where state and local policymakers are making decisions about how and to what extend concurrent enrollment is offered and sustained. </w:t>
      </w:r>
      <w:r w:rsidR="00154492" w:rsidRPr="00396CDF">
        <w:rPr>
          <w:rFonts w:ascii="Times New Roman" w:eastAsia="Times New Roman" w:hAnsi="Times New Roman" w:cs="Times New Roman"/>
          <w:shd w:val="clear" w:color="auto" w:fill="FFFFFF"/>
        </w:rPr>
        <w:t>Policy makers, institutional leaders, students, and the public need empirical evidence about the value of quality concurrent enrollment</w:t>
      </w:r>
      <w:r w:rsidR="00BA4FF7" w:rsidRPr="00396CDF">
        <w:rPr>
          <w:rFonts w:ascii="Times New Roman" w:eastAsia="Times New Roman" w:hAnsi="Times New Roman" w:cs="Times New Roman"/>
          <w:shd w:val="clear" w:color="auto" w:fill="FFFFFF"/>
        </w:rPr>
        <w:t xml:space="preserve"> on students</w:t>
      </w:r>
      <w:r w:rsidR="00154492" w:rsidRPr="00396CDF">
        <w:rPr>
          <w:rFonts w:ascii="Times New Roman" w:eastAsia="Times New Roman" w:hAnsi="Times New Roman" w:cs="Times New Roman"/>
          <w:shd w:val="clear" w:color="auto" w:fill="FFFFFF"/>
        </w:rPr>
        <w:t>. Currently, there is only limited evidence of the effect of quality con</w:t>
      </w:r>
      <w:r w:rsidR="00E619F6" w:rsidRPr="00396CDF">
        <w:rPr>
          <w:rFonts w:ascii="Times New Roman" w:eastAsia="Times New Roman" w:hAnsi="Times New Roman" w:cs="Times New Roman"/>
          <w:shd w:val="clear" w:color="auto" w:fill="FFFFFF"/>
        </w:rPr>
        <w:t>current enrollment</w:t>
      </w:r>
      <w:r w:rsidR="00CD1635" w:rsidRPr="00396CDF">
        <w:rPr>
          <w:rFonts w:ascii="Times New Roman" w:eastAsia="Times New Roman" w:hAnsi="Times New Roman" w:cs="Times New Roman"/>
          <w:shd w:val="clear" w:color="auto" w:fill="FFFFFF"/>
        </w:rPr>
        <w:t xml:space="preserve"> based on the NACEP-accredited standards</w:t>
      </w:r>
      <w:r w:rsidR="00E619F6" w:rsidRPr="00396CDF">
        <w:rPr>
          <w:rFonts w:ascii="Times New Roman" w:eastAsia="Times New Roman" w:hAnsi="Times New Roman" w:cs="Times New Roman"/>
          <w:shd w:val="clear" w:color="auto" w:fill="FFFFFF"/>
        </w:rPr>
        <w:t xml:space="preserve">. </w:t>
      </w:r>
    </w:p>
    <w:p w14:paraId="3837E568" w14:textId="77777777" w:rsidR="00E619F6" w:rsidRPr="00396CDF" w:rsidRDefault="00E619F6" w:rsidP="00E72288">
      <w:pPr>
        <w:rPr>
          <w:rFonts w:ascii="Times New Roman" w:eastAsia="Times New Roman" w:hAnsi="Times New Roman" w:cs="Times New Roman"/>
          <w:shd w:val="clear" w:color="auto" w:fill="FFFFFF"/>
        </w:rPr>
      </w:pPr>
    </w:p>
    <w:p w14:paraId="5FC92859" w14:textId="6EA6BEA9" w:rsidR="00341CDD" w:rsidRPr="00396CDF" w:rsidRDefault="00DD4B58" w:rsidP="00E72288">
      <w:pPr>
        <w:rPr>
          <w:rFonts w:ascii="Times New Roman" w:eastAsia="Times New Roman" w:hAnsi="Times New Roman" w:cs="Times New Roman"/>
          <w:shd w:val="clear" w:color="auto" w:fill="FFFFFF"/>
        </w:rPr>
      </w:pPr>
      <w:r w:rsidRPr="00396CDF">
        <w:rPr>
          <w:rFonts w:ascii="Times New Roman" w:eastAsia="Times New Roman" w:hAnsi="Times New Roman" w:cs="Times New Roman"/>
          <w:shd w:val="clear" w:color="auto" w:fill="FFFFFF"/>
        </w:rPr>
        <w:t xml:space="preserve">The impetus and motivation for this study is to address this gap in evidence about the influence and value of NACEP accreditation. The following broad research question guides this study and analysis: What is the effect of quality concurrent enrollment on the postsecondary academic success of students? </w:t>
      </w:r>
      <w:r w:rsidR="00C4144A" w:rsidRPr="00396CDF">
        <w:rPr>
          <w:rFonts w:ascii="Times New Roman" w:eastAsia="Times New Roman" w:hAnsi="Times New Roman" w:cs="Times New Roman"/>
          <w:shd w:val="clear" w:color="auto" w:fill="FFFFFF"/>
        </w:rPr>
        <w:t xml:space="preserve">In addition to this research questions, case study methods will be used to further clarify the meaning and manifestation of ‘quality’ in the context of concurrent enrollment programs. </w:t>
      </w:r>
    </w:p>
    <w:p w14:paraId="732B9FC4" w14:textId="77777777" w:rsidR="00DD4B58" w:rsidRPr="00396CDF" w:rsidRDefault="00DD4B58" w:rsidP="00E72288">
      <w:pPr>
        <w:rPr>
          <w:rFonts w:ascii="Times New Roman" w:eastAsia="Times New Roman" w:hAnsi="Times New Roman" w:cs="Times New Roman"/>
          <w:shd w:val="clear" w:color="auto" w:fill="FFFFFF"/>
        </w:rPr>
      </w:pPr>
    </w:p>
    <w:p w14:paraId="05F8C4A3" w14:textId="039A2EC6" w:rsidR="00DD4B58" w:rsidRPr="00396CDF" w:rsidRDefault="00E619F6" w:rsidP="00E619F6">
      <w:pPr>
        <w:jc w:val="center"/>
        <w:rPr>
          <w:rFonts w:ascii="Times New Roman" w:eastAsia="Times New Roman" w:hAnsi="Times New Roman" w:cs="Times New Roman"/>
          <w:b/>
        </w:rPr>
      </w:pPr>
      <w:r w:rsidRPr="00396CDF">
        <w:rPr>
          <w:rFonts w:ascii="Times New Roman" w:eastAsia="Times New Roman" w:hAnsi="Times New Roman" w:cs="Times New Roman"/>
          <w:b/>
          <w:shd w:val="clear" w:color="auto" w:fill="FFFFFF"/>
        </w:rPr>
        <w:t>LITERATURE REVIEW</w:t>
      </w:r>
    </w:p>
    <w:p w14:paraId="6CA93A6E" w14:textId="4A79A83C" w:rsidR="006E0B2A" w:rsidRPr="00396CDF" w:rsidRDefault="00E619F6" w:rsidP="00E619F6">
      <w:pPr>
        <w:rPr>
          <w:rFonts w:ascii="Times New Roman" w:hAnsi="Times New Roman" w:cs="Times New Roman"/>
          <w:b/>
        </w:rPr>
      </w:pPr>
      <w:r w:rsidRPr="00396CDF">
        <w:rPr>
          <w:rFonts w:ascii="Times New Roman" w:hAnsi="Times New Roman" w:cs="Times New Roman"/>
          <w:b/>
        </w:rPr>
        <w:t xml:space="preserve">Concurrent Enrollment </w:t>
      </w:r>
    </w:p>
    <w:p w14:paraId="189791D6" w14:textId="56F86E46" w:rsidR="00886960" w:rsidRPr="00396CDF" w:rsidRDefault="00485A31" w:rsidP="00C7288E">
      <w:pPr>
        <w:rPr>
          <w:rFonts w:ascii="Times New Roman" w:hAnsi="Times New Roman" w:cs="Times New Roman"/>
        </w:rPr>
      </w:pPr>
      <w:r w:rsidRPr="00396CDF">
        <w:rPr>
          <w:rFonts w:ascii="Times New Roman" w:hAnsi="Times New Roman" w:cs="Times New Roman"/>
        </w:rPr>
        <w:t>Concurrent enrollment, dual enrollment, and dual credit generally refer to the phenomenon of high school students enrolling in college courses and receiving college and/or high school credit</w:t>
      </w:r>
      <w:r w:rsidR="00991EF7" w:rsidRPr="00396CDF">
        <w:rPr>
          <w:rFonts w:ascii="Times New Roman" w:hAnsi="Times New Roman" w:cs="Times New Roman"/>
        </w:rPr>
        <w:t>.</w:t>
      </w:r>
      <w:r w:rsidRPr="00396CDF">
        <w:rPr>
          <w:rFonts w:ascii="Times New Roman" w:hAnsi="Times New Roman" w:cs="Times New Roman"/>
        </w:rPr>
        <w:t xml:space="preserve"> </w:t>
      </w:r>
      <w:r w:rsidR="00381FAE" w:rsidRPr="00396CDF">
        <w:rPr>
          <w:rFonts w:ascii="Times New Roman" w:hAnsi="Times New Roman" w:cs="Times New Roman"/>
        </w:rPr>
        <w:t xml:space="preserve">The terms are often used interchangeably but some states, locales, and organizations have more specific definitions of these terms. Relevant to this proposal is the term concurrent enrollment). </w:t>
      </w:r>
      <w:r w:rsidR="00CD1635" w:rsidRPr="00396CDF">
        <w:rPr>
          <w:rFonts w:ascii="Times New Roman" w:hAnsi="Times New Roman" w:cs="Times New Roman"/>
        </w:rPr>
        <w:t xml:space="preserve">According to NACEP, “Concurrent enrollment provides high school students the opportunity to take college-credit bearing courses taught by college-approved high school teachers” (NACEP, n.p.). NACEP’s </w:t>
      </w:r>
      <w:r w:rsidR="00266CFD" w:rsidRPr="00396CDF">
        <w:rPr>
          <w:rFonts w:ascii="Times New Roman" w:hAnsi="Times New Roman" w:cs="Times New Roman"/>
        </w:rPr>
        <w:t xml:space="preserve">definition of concurrent enrollment includes a few distinct characteristics: a) courses at the high school and not on the college campus; b) courses not offered via distance education; c) courses where students immediately earn college credit upon course completion and does not require students to matriculate to the college to receive credit; and d) not exam-based courses such as Advanced Placement and International Baccalaureate. </w:t>
      </w:r>
    </w:p>
    <w:p w14:paraId="2B98B15E" w14:textId="77777777" w:rsidR="00524640" w:rsidRPr="00396CDF" w:rsidRDefault="00524640" w:rsidP="00C7288E">
      <w:pPr>
        <w:rPr>
          <w:rFonts w:ascii="Times New Roman" w:hAnsi="Times New Roman" w:cs="Times New Roman"/>
        </w:rPr>
      </w:pPr>
    </w:p>
    <w:p w14:paraId="05014697" w14:textId="05A876DD" w:rsidR="0030059D" w:rsidRPr="00396CDF" w:rsidRDefault="00524640" w:rsidP="00C7288E">
      <w:pPr>
        <w:rPr>
          <w:rFonts w:ascii="Times New Roman" w:hAnsi="Times New Roman" w:cs="Times New Roman"/>
        </w:rPr>
      </w:pPr>
      <w:r w:rsidRPr="00396CDF">
        <w:rPr>
          <w:rFonts w:ascii="Times New Roman" w:hAnsi="Times New Roman" w:cs="Times New Roman"/>
        </w:rPr>
        <w:t xml:space="preserve">The precise estimate of the number of NACEP-defined concurrent enrollment students is unknown but national estimates suggest that approximately </w:t>
      </w:r>
      <w:r w:rsidR="0080058B" w:rsidRPr="00396CDF">
        <w:rPr>
          <w:rFonts w:ascii="Times New Roman" w:hAnsi="Times New Roman" w:cs="Times New Roman"/>
        </w:rPr>
        <w:t>2 million high school students were enrolled in concurrent enrollment in the 2010-11 academic school year and 82 percent of</w:t>
      </w:r>
      <w:r w:rsidR="0030059D" w:rsidRPr="00396CDF">
        <w:rPr>
          <w:rFonts w:ascii="Times New Roman" w:hAnsi="Times New Roman" w:cs="Times New Roman"/>
        </w:rPr>
        <w:t xml:space="preserve"> public</w:t>
      </w:r>
      <w:r w:rsidR="0080058B" w:rsidRPr="00396CDF">
        <w:rPr>
          <w:rFonts w:ascii="Times New Roman" w:hAnsi="Times New Roman" w:cs="Times New Roman"/>
        </w:rPr>
        <w:t xml:space="preserve"> high schools reported students were enrolled in concurrent enrollment in that year (Thomas, Marken, Gray, &amp; Lewis, 2013). </w:t>
      </w:r>
      <w:r w:rsidR="0030059D" w:rsidRPr="00396CDF">
        <w:rPr>
          <w:rFonts w:ascii="Times New Roman" w:hAnsi="Times New Roman" w:cs="Times New Roman"/>
        </w:rPr>
        <w:t xml:space="preserve">These data suggest that </w:t>
      </w:r>
      <w:r w:rsidR="0030059D" w:rsidRPr="00396CDF">
        <w:rPr>
          <w:rFonts w:ascii="Times New Roman" w:hAnsi="Times New Roman" w:cs="Times New Roman"/>
        </w:rPr>
        <w:lastRenderedPageBreak/>
        <w:t xml:space="preserve">concurrent enrollment is a growing phenomenon it has expanded from 1.2 million students in 71 percent of public high schools since the 2002-2003 academic year (Waits, Setzer, &amp; Lewis, 2005). </w:t>
      </w:r>
    </w:p>
    <w:p w14:paraId="2AE4A952" w14:textId="77777777" w:rsidR="0030059D" w:rsidRPr="00396CDF" w:rsidRDefault="0030059D" w:rsidP="00C7288E">
      <w:pPr>
        <w:rPr>
          <w:rFonts w:ascii="Times New Roman" w:hAnsi="Times New Roman" w:cs="Times New Roman"/>
        </w:rPr>
      </w:pPr>
    </w:p>
    <w:p w14:paraId="7F6EC72B" w14:textId="5D2C5474" w:rsidR="00485A31" w:rsidRPr="00396CDF" w:rsidRDefault="00962B55" w:rsidP="00C80BA8">
      <w:pPr>
        <w:rPr>
          <w:rFonts w:ascii="Times New Roman" w:hAnsi="Times New Roman" w:cs="Times New Roman"/>
        </w:rPr>
      </w:pPr>
      <w:r w:rsidRPr="00396CDF">
        <w:rPr>
          <w:rFonts w:ascii="Times New Roman" w:hAnsi="Times New Roman" w:cs="Times New Roman"/>
        </w:rPr>
        <w:t xml:space="preserve">Accompanying </w:t>
      </w:r>
      <w:r w:rsidR="004A755F" w:rsidRPr="00396CDF">
        <w:rPr>
          <w:rFonts w:ascii="Times New Roman" w:hAnsi="Times New Roman" w:cs="Times New Roman"/>
        </w:rPr>
        <w:t xml:space="preserve">the </w:t>
      </w:r>
      <w:r w:rsidRPr="00396CDF">
        <w:rPr>
          <w:rFonts w:ascii="Times New Roman" w:hAnsi="Times New Roman" w:cs="Times New Roman"/>
        </w:rPr>
        <w:t xml:space="preserve">growth </w:t>
      </w:r>
      <w:r w:rsidR="004A755F" w:rsidRPr="00396CDF">
        <w:rPr>
          <w:rFonts w:ascii="Times New Roman" w:hAnsi="Times New Roman" w:cs="Times New Roman"/>
        </w:rPr>
        <w:t xml:space="preserve">in concurrent enrollment participation </w:t>
      </w:r>
      <w:r w:rsidRPr="00396CDF">
        <w:rPr>
          <w:rFonts w:ascii="Times New Roman" w:hAnsi="Times New Roman" w:cs="Times New Roman"/>
        </w:rPr>
        <w:t xml:space="preserve">is an expansion of state </w:t>
      </w:r>
      <w:r w:rsidR="004A755F" w:rsidRPr="00396CDF">
        <w:rPr>
          <w:rFonts w:ascii="Times New Roman" w:hAnsi="Times New Roman" w:cs="Times New Roman"/>
        </w:rPr>
        <w:t xml:space="preserve">concurrent enrollment policies that vary extensively in terms of policies that address dimensions of quality such as student eligibility criteria, faculty teaching criteria, </w:t>
      </w:r>
      <w:r w:rsidR="00215487" w:rsidRPr="00396CDF">
        <w:rPr>
          <w:rFonts w:ascii="Times New Roman" w:hAnsi="Times New Roman" w:cs="Times New Roman"/>
        </w:rPr>
        <w:t>and data collection, for example</w:t>
      </w:r>
      <w:r w:rsidR="004A755F" w:rsidRPr="00396CDF">
        <w:rPr>
          <w:rFonts w:ascii="Times New Roman" w:hAnsi="Times New Roman" w:cs="Times New Roman"/>
        </w:rPr>
        <w:t xml:space="preserve"> (Borden, Taylor, Park, &amp; Seiler, 2013). </w:t>
      </w:r>
      <w:r w:rsidR="00991EF7" w:rsidRPr="00396CDF">
        <w:rPr>
          <w:rFonts w:ascii="Times New Roman" w:hAnsi="Times New Roman" w:cs="Times New Roman"/>
        </w:rPr>
        <w:t xml:space="preserve">Some states have policy mechanisms for ensuring the quality of concurrent enrollment </w:t>
      </w:r>
      <w:r w:rsidR="00214E98" w:rsidRPr="00396CDF">
        <w:rPr>
          <w:rFonts w:ascii="Times New Roman" w:hAnsi="Times New Roman" w:cs="Times New Roman"/>
        </w:rPr>
        <w:t xml:space="preserve">(Lowe, 2010), </w:t>
      </w:r>
      <w:r w:rsidR="00991EF7" w:rsidRPr="00396CDF">
        <w:rPr>
          <w:rFonts w:ascii="Times New Roman" w:hAnsi="Times New Roman" w:cs="Times New Roman"/>
        </w:rPr>
        <w:t xml:space="preserve">but many states either have no quality assurance policy or quality assurance is </w:t>
      </w:r>
      <w:r w:rsidR="00214E98" w:rsidRPr="00396CDF">
        <w:rPr>
          <w:rFonts w:ascii="Times New Roman" w:hAnsi="Times New Roman" w:cs="Times New Roman"/>
        </w:rPr>
        <w:t>conducted</w:t>
      </w:r>
      <w:r w:rsidR="00991EF7" w:rsidRPr="00396CDF">
        <w:rPr>
          <w:rFonts w:ascii="Times New Roman" w:hAnsi="Times New Roman" w:cs="Times New Roman"/>
        </w:rPr>
        <w:t xml:space="preserve"> locally (Borden et al.</w:t>
      </w:r>
      <w:proofErr w:type="gramStart"/>
      <w:r w:rsidR="00991EF7" w:rsidRPr="00396CDF">
        <w:rPr>
          <w:rFonts w:ascii="Times New Roman" w:hAnsi="Times New Roman" w:cs="Times New Roman"/>
        </w:rPr>
        <w:t>,2013</w:t>
      </w:r>
      <w:proofErr w:type="gramEnd"/>
      <w:r w:rsidR="00991EF7" w:rsidRPr="00396CDF">
        <w:rPr>
          <w:rFonts w:ascii="Times New Roman" w:hAnsi="Times New Roman" w:cs="Times New Roman"/>
        </w:rPr>
        <w:t xml:space="preserve">).  </w:t>
      </w:r>
    </w:p>
    <w:p w14:paraId="32646AA7" w14:textId="77777777" w:rsidR="00962B55" w:rsidRPr="00396CDF" w:rsidRDefault="00962B55" w:rsidP="00C80BA8">
      <w:pPr>
        <w:rPr>
          <w:rFonts w:ascii="Times New Roman" w:hAnsi="Times New Roman" w:cs="Times New Roman"/>
        </w:rPr>
      </w:pPr>
    </w:p>
    <w:p w14:paraId="56E49C9E" w14:textId="08B0CE38" w:rsidR="00E619F6" w:rsidRPr="00396CDF" w:rsidRDefault="00E619F6" w:rsidP="00E619F6">
      <w:pPr>
        <w:rPr>
          <w:rFonts w:ascii="Times New Roman" w:hAnsi="Times New Roman" w:cs="Times New Roman"/>
          <w:b/>
        </w:rPr>
      </w:pPr>
      <w:r w:rsidRPr="00396CDF">
        <w:rPr>
          <w:rFonts w:ascii="Times New Roman" w:hAnsi="Times New Roman" w:cs="Times New Roman"/>
          <w:b/>
        </w:rPr>
        <w:t xml:space="preserve">Accreditation and Quality Control in </w:t>
      </w:r>
      <w:r w:rsidR="00381FAE" w:rsidRPr="00396CDF">
        <w:rPr>
          <w:rFonts w:ascii="Times New Roman" w:hAnsi="Times New Roman" w:cs="Times New Roman"/>
          <w:b/>
        </w:rPr>
        <w:t xml:space="preserve">Higher </w:t>
      </w:r>
      <w:r w:rsidRPr="00396CDF">
        <w:rPr>
          <w:rFonts w:ascii="Times New Roman" w:hAnsi="Times New Roman" w:cs="Times New Roman"/>
          <w:b/>
        </w:rPr>
        <w:t>Education</w:t>
      </w:r>
    </w:p>
    <w:p w14:paraId="5D2E3054" w14:textId="681CC6F8" w:rsidR="00D415C6" w:rsidRPr="00396CDF" w:rsidRDefault="00E7214E" w:rsidP="00E619F6">
      <w:pPr>
        <w:rPr>
          <w:rFonts w:ascii="Times New Roman" w:hAnsi="Times New Roman" w:cs="Times New Roman"/>
        </w:rPr>
      </w:pPr>
      <w:r w:rsidRPr="00396CDF">
        <w:rPr>
          <w:rFonts w:ascii="Times New Roman" w:hAnsi="Times New Roman" w:cs="Times New Roman"/>
        </w:rPr>
        <w:t>The voluntary system of accreditation is the primary arbiter of institut</w:t>
      </w:r>
      <w:r w:rsidR="00DA0B88" w:rsidRPr="00396CDF">
        <w:rPr>
          <w:rFonts w:ascii="Times New Roman" w:hAnsi="Times New Roman" w:cs="Times New Roman"/>
        </w:rPr>
        <w:t>ional and programmatic quality</w:t>
      </w:r>
      <w:r w:rsidRPr="00396CDF">
        <w:rPr>
          <w:rFonts w:ascii="Times New Roman" w:hAnsi="Times New Roman" w:cs="Times New Roman"/>
        </w:rPr>
        <w:t xml:space="preserve"> in the United States. </w:t>
      </w:r>
      <w:r w:rsidR="003663AE" w:rsidRPr="00396CDF">
        <w:rPr>
          <w:rFonts w:ascii="Times New Roman" w:hAnsi="Times New Roman" w:cs="Times New Roman"/>
        </w:rPr>
        <w:t xml:space="preserve">Eaton (2009) articulates four </w:t>
      </w:r>
      <w:r w:rsidR="00214E98" w:rsidRPr="00396CDF">
        <w:rPr>
          <w:rFonts w:ascii="Times New Roman" w:hAnsi="Times New Roman" w:cs="Times New Roman"/>
        </w:rPr>
        <w:t xml:space="preserve">essential purposes of </w:t>
      </w:r>
      <w:r w:rsidR="00442E5D" w:rsidRPr="00396CDF">
        <w:rPr>
          <w:rFonts w:ascii="Times New Roman" w:hAnsi="Times New Roman" w:cs="Times New Roman"/>
        </w:rPr>
        <w:t xml:space="preserve">accreditation: </w:t>
      </w:r>
      <w:r w:rsidR="00214E98" w:rsidRPr="00396CDF">
        <w:rPr>
          <w:rFonts w:ascii="Times New Roman" w:hAnsi="Times New Roman" w:cs="Times New Roman"/>
        </w:rPr>
        <w:t xml:space="preserve">a) </w:t>
      </w:r>
      <w:r w:rsidR="00442E5D" w:rsidRPr="00396CDF">
        <w:rPr>
          <w:rFonts w:ascii="Times New Roman" w:hAnsi="Times New Roman" w:cs="Times New Roman"/>
        </w:rPr>
        <w:t>accreditation is the primary way that quality is assured to the public and to students</w:t>
      </w:r>
      <w:r w:rsidR="003663AE" w:rsidRPr="00396CDF">
        <w:rPr>
          <w:rFonts w:ascii="Times New Roman" w:hAnsi="Times New Roman" w:cs="Times New Roman"/>
        </w:rPr>
        <w:t xml:space="preserve">; b) </w:t>
      </w:r>
      <w:r w:rsidR="00442E5D" w:rsidRPr="00396CDF">
        <w:rPr>
          <w:rFonts w:ascii="Times New Roman" w:hAnsi="Times New Roman" w:cs="Times New Roman"/>
        </w:rPr>
        <w:t>institutional accreditation provides access to federal financial aid because aid funds are only available to accredited institutions</w:t>
      </w:r>
      <w:r w:rsidR="003663AE" w:rsidRPr="00396CDF">
        <w:rPr>
          <w:rFonts w:ascii="Times New Roman" w:hAnsi="Times New Roman" w:cs="Times New Roman"/>
        </w:rPr>
        <w:t xml:space="preserve">; c) </w:t>
      </w:r>
      <w:r w:rsidR="00442E5D" w:rsidRPr="00396CDF">
        <w:rPr>
          <w:rFonts w:ascii="Times New Roman" w:hAnsi="Times New Roman" w:cs="Times New Roman"/>
        </w:rPr>
        <w:t xml:space="preserve">accreditation provides confidence to the private sector for the purpose of employment, tuition support, and private giving; and d) accreditation supports </w:t>
      </w:r>
      <w:r w:rsidR="00D415C6" w:rsidRPr="00396CDF">
        <w:rPr>
          <w:rFonts w:ascii="Times New Roman" w:hAnsi="Times New Roman" w:cs="Times New Roman"/>
        </w:rPr>
        <w:t xml:space="preserve">transfer of courses among other accredited institutions. Some also argue that accreditation is </w:t>
      </w:r>
      <w:r w:rsidR="003663AE" w:rsidRPr="00396CDF">
        <w:rPr>
          <w:rFonts w:ascii="Times New Roman" w:hAnsi="Times New Roman" w:cs="Times New Roman"/>
        </w:rPr>
        <w:t>“a process for holding postsecondary institutions accountable to voluntary nongovernmental agencies for meeting certain minimum education standards</w:t>
      </w:r>
      <w:r w:rsidR="00D415C6" w:rsidRPr="00396CDF">
        <w:rPr>
          <w:rFonts w:ascii="Times New Roman" w:hAnsi="Times New Roman" w:cs="Times New Roman"/>
        </w:rPr>
        <w:t xml:space="preserve"> ” (Schmidtlein &amp; Berdahl, 2005). The aforementioned accreditation purposes are fundamental to the American system of higher education. </w:t>
      </w:r>
    </w:p>
    <w:p w14:paraId="330A17EC" w14:textId="77777777" w:rsidR="00D415C6" w:rsidRPr="00396CDF" w:rsidRDefault="00D415C6" w:rsidP="00E619F6">
      <w:pPr>
        <w:rPr>
          <w:rFonts w:ascii="Times New Roman" w:hAnsi="Times New Roman" w:cs="Times New Roman"/>
        </w:rPr>
      </w:pPr>
    </w:p>
    <w:p w14:paraId="627A0F45" w14:textId="0B1B3E2E" w:rsidR="00D415C6" w:rsidRPr="00396CDF" w:rsidRDefault="00D415C6" w:rsidP="00E619F6">
      <w:pPr>
        <w:rPr>
          <w:rFonts w:ascii="Times New Roman" w:hAnsi="Times New Roman" w:cs="Times New Roman"/>
        </w:rPr>
      </w:pPr>
      <w:r w:rsidRPr="00396CDF">
        <w:rPr>
          <w:rFonts w:ascii="Times New Roman" w:hAnsi="Times New Roman" w:cs="Times New Roman"/>
        </w:rPr>
        <w:t xml:space="preserve">The way in which these purposes are achieved is the accreditation review process. The general review process occurs periodically (a few years to as many as ten years) and includes three general steps: a) a self-study in which the institution prepares evidence of quality and alignment with standards; b) peer review in which peers from member institutions conduct a site visit to the institution; and c) the determination of </w:t>
      </w:r>
      <w:r w:rsidR="00F81911" w:rsidRPr="00396CDF">
        <w:rPr>
          <w:rFonts w:ascii="Times New Roman" w:hAnsi="Times New Roman" w:cs="Times New Roman"/>
        </w:rPr>
        <w:t xml:space="preserve">accreditation status by the accrediting body (Eaton, 2009). </w:t>
      </w:r>
    </w:p>
    <w:p w14:paraId="2F2D1ABE" w14:textId="77777777" w:rsidR="00F81911" w:rsidRPr="00396CDF" w:rsidRDefault="00F81911" w:rsidP="00E619F6">
      <w:pPr>
        <w:rPr>
          <w:rFonts w:ascii="Times New Roman" w:hAnsi="Times New Roman" w:cs="Times New Roman"/>
        </w:rPr>
      </w:pPr>
    </w:p>
    <w:p w14:paraId="05009D4F" w14:textId="288A448B" w:rsidR="00D415C6" w:rsidRPr="00396CDF" w:rsidRDefault="00F81911" w:rsidP="00E619F6">
      <w:pPr>
        <w:rPr>
          <w:rFonts w:ascii="Times New Roman" w:hAnsi="Times New Roman" w:cs="Times New Roman"/>
        </w:rPr>
      </w:pPr>
      <w:r w:rsidRPr="00396CDF">
        <w:rPr>
          <w:rFonts w:ascii="Times New Roman" w:hAnsi="Times New Roman" w:cs="Times New Roman"/>
        </w:rPr>
        <w:t xml:space="preserve">At the heart of accreditation and </w:t>
      </w:r>
      <w:r w:rsidR="00AF68B9" w:rsidRPr="00396CDF">
        <w:rPr>
          <w:rFonts w:ascii="Times New Roman" w:hAnsi="Times New Roman" w:cs="Times New Roman"/>
        </w:rPr>
        <w:t xml:space="preserve">an </w:t>
      </w:r>
      <w:r w:rsidRPr="00396CDF">
        <w:rPr>
          <w:rFonts w:ascii="Times New Roman" w:hAnsi="Times New Roman" w:cs="Times New Roman"/>
        </w:rPr>
        <w:t xml:space="preserve">essential purpose described by Eaton (2009) is </w:t>
      </w:r>
      <w:r w:rsidR="00703D0F" w:rsidRPr="00396CDF">
        <w:rPr>
          <w:rFonts w:ascii="Times New Roman" w:hAnsi="Times New Roman" w:cs="Times New Roman"/>
        </w:rPr>
        <w:t>quality assurance</w:t>
      </w:r>
      <w:r w:rsidRPr="00396CDF">
        <w:rPr>
          <w:rFonts w:ascii="Times New Roman" w:hAnsi="Times New Roman" w:cs="Times New Roman"/>
        </w:rPr>
        <w:t xml:space="preserve">. </w:t>
      </w:r>
      <w:r w:rsidRPr="00396CDF">
        <w:rPr>
          <w:rFonts w:ascii="Times New Roman" w:hAnsi="Times New Roman" w:cs="Times New Roman"/>
          <w:i/>
        </w:rPr>
        <w:t xml:space="preserve">Quality </w:t>
      </w:r>
      <w:r w:rsidRPr="00396CDF">
        <w:rPr>
          <w:rFonts w:ascii="Times New Roman" w:hAnsi="Times New Roman" w:cs="Times New Roman"/>
        </w:rPr>
        <w:t xml:space="preserve">is generally operationalized </w:t>
      </w:r>
      <w:r w:rsidR="00BC0BA2" w:rsidRPr="00396CDF">
        <w:rPr>
          <w:rFonts w:ascii="Times New Roman" w:hAnsi="Times New Roman" w:cs="Times New Roman"/>
        </w:rPr>
        <w:t>via a set of</w:t>
      </w:r>
      <w:r w:rsidRPr="00396CDF">
        <w:rPr>
          <w:rFonts w:ascii="Times New Roman" w:hAnsi="Times New Roman" w:cs="Times New Roman"/>
        </w:rPr>
        <w:t xml:space="preserve"> </w:t>
      </w:r>
      <w:r w:rsidR="00AF68B9" w:rsidRPr="00396CDF">
        <w:rPr>
          <w:rFonts w:ascii="Times New Roman" w:hAnsi="Times New Roman" w:cs="Times New Roman"/>
        </w:rPr>
        <w:t xml:space="preserve">accreditation </w:t>
      </w:r>
      <w:r w:rsidRPr="00396CDF">
        <w:rPr>
          <w:rFonts w:ascii="Times New Roman" w:hAnsi="Times New Roman" w:cs="Times New Roman"/>
        </w:rPr>
        <w:t>standards</w:t>
      </w:r>
      <w:r w:rsidR="00BC0BA2" w:rsidRPr="00396CDF">
        <w:rPr>
          <w:rFonts w:ascii="Times New Roman" w:hAnsi="Times New Roman" w:cs="Times New Roman"/>
        </w:rPr>
        <w:t xml:space="preserve">, and the </w:t>
      </w:r>
      <w:r w:rsidR="00703D0F" w:rsidRPr="00396CDF">
        <w:rPr>
          <w:rFonts w:ascii="Times New Roman" w:hAnsi="Times New Roman" w:cs="Times New Roman"/>
        </w:rPr>
        <w:t xml:space="preserve">accreditor’s </w:t>
      </w:r>
      <w:r w:rsidR="00BC0BA2" w:rsidRPr="00396CDF">
        <w:rPr>
          <w:rFonts w:ascii="Times New Roman" w:hAnsi="Times New Roman" w:cs="Times New Roman"/>
        </w:rPr>
        <w:t xml:space="preserve">role </w:t>
      </w:r>
      <w:r w:rsidR="00703D0F" w:rsidRPr="00396CDF">
        <w:rPr>
          <w:rFonts w:ascii="Times New Roman" w:hAnsi="Times New Roman" w:cs="Times New Roman"/>
        </w:rPr>
        <w:t xml:space="preserve">is </w:t>
      </w:r>
      <w:r w:rsidR="00BC0BA2" w:rsidRPr="00396CDF">
        <w:rPr>
          <w:rFonts w:ascii="Times New Roman" w:hAnsi="Times New Roman" w:cs="Times New Roman"/>
        </w:rPr>
        <w:t xml:space="preserve">to </w:t>
      </w:r>
      <w:r w:rsidRPr="00396CDF">
        <w:rPr>
          <w:rFonts w:ascii="Times New Roman" w:hAnsi="Times New Roman" w:cs="Times New Roman"/>
        </w:rPr>
        <w:t>ensure that institutions meet</w:t>
      </w:r>
      <w:r w:rsidR="00AF68B9" w:rsidRPr="00396CDF">
        <w:rPr>
          <w:rFonts w:ascii="Times New Roman" w:hAnsi="Times New Roman" w:cs="Times New Roman"/>
        </w:rPr>
        <w:t xml:space="preserve"> these</w:t>
      </w:r>
      <w:r w:rsidRPr="00396CDF">
        <w:rPr>
          <w:rFonts w:ascii="Times New Roman" w:hAnsi="Times New Roman" w:cs="Times New Roman"/>
        </w:rPr>
        <w:t xml:space="preserve"> standards. </w:t>
      </w:r>
      <w:r w:rsidR="00C4485A" w:rsidRPr="00396CDF">
        <w:rPr>
          <w:rFonts w:ascii="Times New Roman" w:hAnsi="Times New Roman" w:cs="Times New Roman"/>
        </w:rPr>
        <w:t xml:space="preserve">Regional accreditors and program accreditors, for example, have a clear set of standards on which institutions are judged and an accreditation decision is determined by a panel of peers. As Eaton notes, adherence to these standards then signals to students, the government, and employers that a higher education institution meets the quality standards. </w:t>
      </w:r>
    </w:p>
    <w:p w14:paraId="4F8A6DD9" w14:textId="77777777" w:rsidR="00FA6A49" w:rsidRPr="00396CDF" w:rsidRDefault="00FA6A49" w:rsidP="00E619F6">
      <w:pPr>
        <w:rPr>
          <w:rFonts w:ascii="Times New Roman" w:hAnsi="Times New Roman" w:cs="Times New Roman"/>
        </w:rPr>
      </w:pPr>
    </w:p>
    <w:p w14:paraId="07B28B0D" w14:textId="21DF2F2D" w:rsidR="00F41CB2" w:rsidRPr="00396CDF" w:rsidRDefault="00F41CB2" w:rsidP="00E619F6">
      <w:pPr>
        <w:rPr>
          <w:rFonts w:ascii="Times New Roman" w:hAnsi="Times New Roman" w:cs="Times New Roman"/>
          <w:b/>
        </w:rPr>
      </w:pPr>
      <w:r w:rsidRPr="00396CDF">
        <w:rPr>
          <w:rFonts w:ascii="Times New Roman" w:hAnsi="Times New Roman" w:cs="Times New Roman"/>
          <w:b/>
        </w:rPr>
        <w:t xml:space="preserve">NACEP Accreditation </w:t>
      </w:r>
    </w:p>
    <w:p w14:paraId="5B6BAA4C" w14:textId="15808014" w:rsidR="00EE781C" w:rsidRPr="00396CDF" w:rsidRDefault="00FC79B2" w:rsidP="00E619F6">
      <w:pPr>
        <w:rPr>
          <w:rFonts w:ascii="Times New Roman" w:hAnsi="Times New Roman" w:cs="Times New Roman"/>
        </w:rPr>
      </w:pPr>
      <w:r w:rsidRPr="00396CDF">
        <w:rPr>
          <w:rFonts w:ascii="Times New Roman" w:hAnsi="Times New Roman" w:cs="Times New Roman"/>
        </w:rPr>
        <w:t xml:space="preserve">The fundamental purpose of NACEP is to accredit concurrent enrollment partnerships that for the purpose of quality assurance and program improvement. Similar to regional and program accreditation, accreditation is </w:t>
      </w:r>
      <w:r w:rsidR="00703D0F" w:rsidRPr="00396CDF">
        <w:rPr>
          <w:rFonts w:ascii="Times New Roman" w:hAnsi="Times New Roman" w:cs="Times New Roman"/>
        </w:rPr>
        <w:t xml:space="preserve">voluntary and </w:t>
      </w:r>
      <w:r w:rsidRPr="00396CDF">
        <w:rPr>
          <w:rFonts w:ascii="Times New Roman" w:hAnsi="Times New Roman" w:cs="Times New Roman"/>
        </w:rPr>
        <w:t xml:space="preserve">achieved through a </w:t>
      </w:r>
      <w:r w:rsidRPr="00396CDF">
        <w:rPr>
          <w:rFonts w:ascii="Times New Roman" w:hAnsi="Times New Roman" w:cs="Times New Roman"/>
        </w:rPr>
        <w:lastRenderedPageBreak/>
        <w:t xml:space="preserve">comprehensive review by a team of peers. Partnerships conduct a self-study and provide evidence they meet the 17 NACEP standards for program quality in five areas: curriculum, faculty, students, assessment, and program evaluation. </w:t>
      </w:r>
      <w:r w:rsidR="00EE781C" w:rsidRPr="00396CDF">
        <w:rPr>
          <w:rFonts w:ascii="Times New Roman" w:hAnsi="Times New Roman" w:cs="Times New Roman"/>
        </w:rPr>
        <w:t xml:space="preserve">Initial accreditation is sought when partnerships engage in a self-study for one year prior to </w:t>
      </w:r>
      <w:r w:rsidR="00703D0F" w:rsidRPr="00396CDF">
        <w:rPr>
          <w:rFonts w:ascii="Times New Roman" w:hAnsi="Times New Roman" w:cs="Times New Roman"/>
        </w:rPr>
        <w:t xml:space="preserve">submitting an accreditation application. The accreditation cycle is seven years and institutions repeat the accreditation process when their accreditation period expires.  </w:t>
      </w:r>
    </w:p>
    <w:p w14:paraId="10ED1B41" w14:textId="77777777" w:rsidR="00EE781C" w:rsidRPr="00396CDF" w:rsidRDefault="00EE781C" w:rsidP="00E619F6">
      <w:pPr>
        <w:rPr>
          <w:rFonts w:ascii="Times New Roman" w:hAnsi="Times New Roman" w:cs="Times New Roman"/>
        </w:rPr>
      </w:pPr>
    </w:p>
    <w:p w14:paraId="0EF34E42" w14:textId="4C71079D" w:rsidR="00FC79B2" w:rsidRPr="00396CDF" w:rsidRDefault="00FC79B2" w:rsidP="00E619F6">
      <w:pPr>
        <w:rPr>
          <w:rFonts w:ascii="Times New Roman" w:hAnsi="Times New Roman" w:cs="Times New Roman"/>
        </w:rPr>
      </w:pPr>
      <w:r w:rsidRPr="00396CDF">
        <w:rPr>
          <w:rFonts w:ascii="Times New Roman" w:hAnsi="Times New Roman" w:cs="Times New Roman"/>
        </w:rPr>
        <w:t xml:space="preserve">According to NACEP, accreditation offers the following advantages: </w:t>
      </w:r>
    </w:p>
    <w:p w14:paraId="131EB34B" w14:textId="77777777" w:rsidR="00A71667" w:rsidRPr="00396CDF" w:rsidRDefault="00A71667" w:rsidP="00A71667">
      <w:pPr>
        <w:numPr>
          <w:ilvl w:val="0"/>
          <w:numId w:val="7"/>
        </w:num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Serves as a guarantee to students, policy-makers, and other post-secondary institutions that the accredited partnership meets rigorous national standards</w:t>
      </w:r>
    </w:p>
    <w:p w14:paraId="1BD0EE79" w14:textId="77777777" w:rsidR="00A71667" w:rsidRPr="00396CDF" w:rsidRDefault="00A71667" w:rsidP="00A71667">
      <w:pPr>
        <w:numPr>
          <w:ilvl w:val="0"/>
          <w:numId w:val="7"/>
        </w:num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Distinguishes a concurrent enrollment partnership, thereby enhancing its ability to recruit new partners and students</w:t>
      </w:r>
    </w:p>
    <w:p w14:paraId="395945DA" w14:textId="77777777" w:rsidR="00A71667" w:rsidRPr="00396CDF" w:rsidRDefault="00A71667" w:rsidP="00A71667">
      <w:pPr>
        <w:numPr>
          <w:ilvl w:val="0"/>
          <w:numId w:val="7"/>
        </w:num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Aids students and families when they seek credit recognition for their college credits earned through concurrent enrollment</w:t>
      </w:r>
    </w:p>
    <w:p w14:paraId="30D98CA2" w14:textId="77777777" w:rsidR="00A71667" w:rsidRPr="00396CDF" w:rsidRDefault="00A71667" w:rsidP="00A71667">
      <w:pPr>
        <w:numPr>
          <w:ilvl w:val="0"/>
          <w:numId w:val="7"/>
        </w:num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Allows programs to display the NACEP logo on their websites and in other publications</w:t>
      </w:r>
    </w:p>
    <w:p w14:paraId="7B5248D8" w14:textId="77777777" w:rsidR="00833BAB" w:rsidRPr="00396CDF" w:rsidRDefault="00A71667" w:rsidP="00C80BA8">
      <w:pPr>
        <w:numPr>
          <w:ilvl w:val="0"/>
          <w:numId w:val="7"/>
        </w:num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Offers national leadership opportunities to concurrent enrollment professionals. Staff from NACEP-accredited concurrent enrollment programs may hold an elected position on the NACEP Board of Directors or be appointed as a Committee Chair to help shape the future of concurrent enrollment around the country.</w:t>
      </w:r>
    </w:p>
    <w:p w14:paraId="00A8EE33" w14:textId="77777777" w:rsidR="00833BAB" w:rsidRPr="00396CDF" w:rsidRDefault="00833BAB" w:rsidP="00C80BA8">
      <w:pPr>
        <w:shd w:val="clear" w:color="auto" w:fill="FFFFFF"/>
        <w:spacing w:line="270" w:lineRule="atLeast"/>
        <w:textAlignment w:val="baseline"/>
        <w:rPr>
          <w:rFonts w:ascii="Times New Roman" w:eastAsia="Times New Roman" w:hAnsi="Times New Roman" w:cs="Times New Roman"/>
        </w:rPr>
      </w:pPr>
    </w:p>
    <w:p w14:paraId="0482F7C9" w14:textId="08D48024" w:rsidR="00E619F6" w:rsidRPr="00396CDF" w:rsidRDefault="00703D0F" w:rsidP="00C80BA8">
      <w:pPr>
        <w:shd w:val="clear" w:color="auto" w:fill="FFFFFF"/>
        <w:spacing w:line="270" w:lineRule="atLeast"/>
        <w:textAlignment w:val="baseline"/>
        <w:rPr>
          <w:rFonts w:ascii="Times New Roman" w:eastAsia="Times New Roman" w:hAnsi="Times New Roman" w:cs="Times New Roman"/>
        </w:rPr>
      </w:pPr>
      <w:r w:rsidRPr="00396CDF">
        <w:rPr>
          <w:rFonts w:ascii="Times New Roman" w:eastAsia="Times New Roman" w:hAnsi="Times New Roman" w:cs="Times New Roman"/>
        </w:rPr>
        <w:t xml:space="preserve">Unlike regional accreditation, access to federal aid is not associated with NACEP accreditation. However, NACEP reports that seven states either require or incentivize institutions to be NACEP accredited and in eight states the state concurrent enrollment standards were modeled or partially reflect NACEP standards. </w:t>
      </w:r>
    </w:p>
    <w:p w14:paraId="4ECCCB0D" w14:textId="77777777" w:rsidR="00FA6A49" w:rsidRPr="00396CDF" w:rsidRDefault="00FA6A49" w:rsidP="00E619F6">
      <w:pPr>
        <w:rPr>
          <w:rFonts w:ascii="Times New Roman" w:hAnsi="Times New Roman" w:cs="Times New Roman"/>
        </w:rPr>
      </w:pPr>
    </w:p>
    <w:p w14:paraId="2F68991C" w14:textId="373D4581" w:rsidR="00E619F6" w:rsidRPr="00396CDF" w:rsidRDefault="00172756" w:rsidP="00E619F6">
      <w:pPr>
        <w:rPr>
          <w:rFonts w:ascii="Times New Roman" w:hAnsi="Times New Roman" w:cs="Times New Roman"/>
          <w:b/>
        </w:rPr>
      </w:pPr>
      <w:r w:rsidRPr="00396CDF">
        <w:rPr>
          <w:rFonts w:ascii="Times New Roman" w:hAnsi="Times New Roman" w:cs="Times New Roman"/>
          <w:b/>
        </w:rPr>
        <w:t>Effect of Concurrent Enrollment</w:t>
      </w:r>
      <w:r w:rsidR="00E619F6" w:rsidRPr="00396CDF">
        <w:rPr>
          <w:rFonts w:ascii="Times New Roman" w:hAnsi="Times New Roman" w:cs="Times New Roman"/>
          <w:b/>
        </w:rPr>
        <w:t xml:space="preserve"> </w:t>
      </w:r>
    </w:p>
    <w:p w14:paraId="5AC69EC3" w14:textId="2CEC24E6" w:rsidR="00E619F6" w:rsidRPr="00396CDF" w:rsidRDefault="00FA6A49" w:rsidP="00C7288E">
      <w:pPr>
        <w:rPr>
          <w:rFonts w:ascii="Times New Roman" w:hAnsi="Times New Roman" w:cs="Times New Roman"/>
        </w:rPr>
      </w:pPr>
      <w:r w:rsidRPr="00396CDF">
        <w:rPr>
          <w:rFonts w:ascii="Times New Roman" w:hAnsi="Times New Roman" w:cs="Times New Roman"/>
        </w:rPr>
        <w:t>The scholarly literature on the effects of concurrent enrollment participation is an emerging body of literature and evidence is accumulating that there are positive short-term effects and long-term effects of concurrent enrollment participation. Several studies at the institutional, state, and national levels have documented this phenomenon and suggest that concurrent enrollment participation tends to have a positive impact on high school indicators such as high school graduation (</w:t>
      </w:r>
      <w:r w:rsidR="00FB14F4" w:rsidRPr="00396CDF">
        <w:rPr>
          <w:rFonts w:ascii="Times New Roman" w:hAnsi="Times New Roman" w:cs="Times New Roman"/>
        </w:rPr>
        <w:t>Karp et al., 2007</w:t>
      </w:r>
      <w:r w:rsidRPr="00396CDF">
        <w:rPr>
          <w:rFonts w:ascii="Times New Roman" w:hAnsi="Times New Roman" w:cs="Times New Roman"/>
        </w:rPr>
        <w:t>)</w:t>
      </w:r>
      <w:r w:rsidR="00FB14F4" w:rsidRPr="00396CDF">
        <w:rPr>
          <w:rFonts w:ascii="Times New Roman" w:hAnsi="Times New Roman" w:cs="Times New Roman"/>
        </w:rPr>
        <w:t xml:space="preserve"> and college aspirations (Howerter; 2012; Karp 2012</w:t>
      </w:r>
      <w:r w:rsidR="00A855DF" w:rsidRPr="00396CDF">
        <w:rPr>
          <w:rFonts w:ascii="Times New Roman" w:hAnsi="Times New Roman" w:cs="Times New Roman"/>
        </w:rPr>
        <w:t>; Smith, 2007</w:t>
      </w:r>
      <w:r w:rsidR="00FB14F4" w:rsidRPr="00396CDF">
        <w:rPr>
          <w:rFonts w:ascii="Times New Roman" w:hAnsi="Times New Roman" w:cs="Times New Roman"/>
        </w:rPr>
        <w:t>)</w:t>
      </w:r>
      <w:r w:rsidRPr="00396CDF">
        <w:rPr>
          <w:rFonts w:ascii="Times New Roman" w:hAnsi="Times New Roman" w:cs="Times New Roman"/>
        </w:rPr>
        <w:t>, college access indicators such as enrollment in college (</w:t>
      </w:r>
      <w:r w:rsidR="00FB14F4" w:rsidRPr="00396CDF">
        <w:rPr>
          <w:rFonts w:ascii="Times New Roman" w:hAnsi="Times New Roman" w:cs="Times New Roman"/>
        </w:rPr>
        <w:t xml:space="preserve">Karp et al., 2007; </w:t>
      </w:r>
      <w:r w:rsidR="00FE67A3" w:rsidRPr="00396CDF">
        <w:rPr>
          <w:rFonts w:ascii="Times New Roman" w:hAnsi="Times New Roman" w:cs="Times New Roman"/>
        </w:rPr>
        <w:t>Luna &amp; Fowler, 2011; Speroni, 2011; Struhl &amp; Vargas, 2012</w:t>
      </w:r>
      <w:r w:rsidRPr="00396CDF">
        <w:rPr>
          <w:rFonts w:ascii="Times New Roman" w:hAnsi="Times New Roman" w:cs="Times New Roman"/>
        </w:rPr>
        <w:t>), and college performance and retention indicators such as college GPA and college persistence (</w:t>
      </w:r>
      <w:r w:rsidR="00FB14F4" w:rsidRPr="00396CDF">
        <w:rPr>
          <w:rFonts w:ascii="Times New Roman" w:hAnsi="Times New Roman" w:cs="Times New Roman"/>
        </w:rPr>
        <w:t xml:space="preserve">Karp et all, 2007; </w:t>
      </w:r>
      <w:r w:rsidR="00DE238A" w:rsidRPr="00396CDF">
        <w:rPr>
          <w:rFonts w:ascii="Times New Roman" w:hAnsi="Times New Roman" w:cs="Times New Roman"/>
        </w:rPr>
        <w:t>Kim &amp; Bragg, 2008; Shaughnessy, 2009; Swanson, 2008</w:t>
      </w:r>
      <w:r w:rsidRPr="00396CDF">
        <w:rPr>
          <w:rFonts w:ascii="Times New Roman" w:hAnsi="Times New Roman" w:cs="Times New Roman"/>
        </w:rPr>
        <w:t>). A few studies have found a positive relationship between concurrent enrollment and long-term outcomes such as college completion (An, 2013</w:t>
      </w:r>
      <w:r w:rsidR="00FE67A3" w:rsidRPr="00396CDF">
        <w:rPr>
          <w:rFonts w:ascii="Times New Roman" w:hAnsi="Times New Roman" w:cs="Times New Roman"/>
        </w:rPr>
        <w:t xml:space="preserve">; </w:t>
      </w:r>
      <w:r w:rsidR="00DE238A" w:rsidRPr="00396CDF">
        <w:rPr>
          <w:rFonts w:ascii="Times New Roman" w:hAnsi="Times New Roman" w:cs="Times New Roman"/>
        </w:rPr>
        <w:t xml:space="preserve">Geise, 2011; </w:t>
      </w:r>
      <w:r w:rsidR="00FE67A3" w:rsidRPr="00396CDF">
        <w:rPr>
          <w:rFonts w:ascii="Times New Roman" w:hAnsi="Times New Roman" w:cs="Times New Roman"/>
        </w:rPr>
        <w:t xml:space="preserve">Shaughnessy, 2009; </w:t>
      </w:r>
      <w:r w:rsidR="00DE238A" w:rsidRPr="00396CDF">
        <w:rPr>
          <w:rFonts w:ascii="Times New Roman" w:hAnsi="Times New Roman" w:cs="Times New Roman"/>
        </w:rPr>
        <w:t xml:space="preserve">Speroni, 2011; </w:t>
      </w:r>
      <w:r w:rsidR="00FE67A3" w:rsidRPr="00396CDF">
        <w:rPr>
          <w:rFonts w:ascii="Times New Roman" w:hAnsi="Times New Roman" w:cs="Times New Roman"/>
        </w:rPr>
        <w:t>Struhl &amp; Vargas, 2012; Taylor, 2013</w:t>
      </w:r>
      <w:r w:rsidR="00DE238A" w:rsidRPr="00396CDF">
        <w:rPr>
          <w:rFonts w:ascii="Times New Roman" w:hAnsi="Times New Roman" w:cs="Times New Roman"/>
        </w:rPr>
        <w:t>; Westcott, 2009</w:t>
      </w:r>
      <w:r w:rsidRPr="00396CDF">
        <w:rPr>
          <w:rFonts w:ascii="Times New Roman" w:hAnsi="Times New Roman" w:cs="Times New Roman"/>
        </w:rPr>
        <w:t xml:space="preserve">). </w:t>
      </w:r>
    </w:p>
    <w:p w14:paraId="02670766" w14:textId="77777777" w:rsidR="00215487" w:rsidRPr="00396CDF" w:rsidRDefault="00215487" w:rsidP="00C7288E">
      <w:pPr>
        <w:rPr>
          <w:rFonts w:ascii="Times New Roman" w:hAnsi="Times New Roman" w:cs="Times New Roman"/>
        </w:rPr>
      </w:pPr>
    </w:p>
    <w:p w14:paraId="37401DAB" w14:textId="32471D3A" w:rsidR="00FA6A49" w:rsidRPr="00396CDF" w:rsidRDefault="00FA6A49" w:rsidP="00C7288E">
      <w:pPr>
        <w:rPr>
          <w:rFonts w:ascii="Times New Roman" w:hAnsi="Times New Roman" w:cs="Times New Roman"/>
        </w:rPr>
      </w:pPr>
      <w:r w:rsidRPr="00396CDF">
        <w:rPr>
          <w:rFonts w:ascii="Times New Roman" w:hAnsi="Times New Roman" w:cs="Times New Roman"/>
        </w:rPr>
        <w:t xml:space="preserve">This evidence is positive, but there are at least two gaps in this body of literature that </w:t>
      </w:r>
      <w:r w:rsidR="009A37D6" w:rsidRPr="00396CDF">
        <w:rPr>
          <w:rFonts w:ascii="Times New Roman" w:hAnsi="Times New Roman" w:cs="Times New Roman"/>
        </w:rPr>
        <w:t xml:space="preserve">the proposed </w:t>
      </w:r>
      <w:r w:rsidRPr="00396CDF">
        <w:rPr>
          <w:rFonts w:ascii="Times New Roman" w:hAnsi="Times New Roman" w:cs="Times New Roman"/>
        </w:rPr>
        <w:t xml:space="preserve">study seeks to address. The first </w:t>
      </w:r>
      <w:r w:rsidR="00172756" w:rsidRPr="00396CDF">
        <w:rPr>
          <w:rFonts w:ascii="Times New Roman" w:hAnsi="Times New Roman" w:cs="Times New Roman"/>
        </w:rPr>
        <w:t xml:space="preserve">and most important contribution of this study is </w:t>
      </w:r>
      <w:r w:rsidR="00172756" w:rsidRPr="00396CDF">
        <w:rPr>
          <w:rFonts w:ascii="Times New Roman" w:hAnsi="Times New Roman" w:cs="Times New Roman"/>
        </w:rPr>
        <w:lastRenderedPageBreak/>
        <w:t xml:space="preserve">the focus on </w:t>
      </w:r>
      <w:r w:rsidR="00172756" w:rsidRPr="00396CDF">
        <w:rPr>
          <w:rFonts w:ascii="Times New Roman" w:hAnsi="Times New Roman" w:cs="Times New Roman"/>
          <w:i/>
        </w:rPr>
        <w:t>quality</w:t>
      </w:r>
      <w:r w:rsidR="00172756" w:rsidRPr="00396CDF">
        <w:rPr>
          <w:rFonts w:ascii="Times New Roman" w:hAnsi="Times New Roman" w:cs="Times New Roman"/>
        </w:rPr>
        <w:t xml:space="preserve"> concurrent enrollment</w:t>
      </w:r>
      <w:r w:rsidR="00E11CC9" w:rsidRPr="00396CDF">
        <w:rPr>
          <w:rFonts w:ascii="Times New Roman" w:hAnsi="Times New Roman" w:cs="Times New Roman"/>
        </w:rPr>
        <w:t>, as defined by the NACEP standards</w:t>
      </w:r>
      <w:r w:rsidR="00172756" w:rsidRPr="00396CDF">
        <w:rPr>
          <w:rFonts w:ascii="Times New Roman" w:hAnsi="Times New Roman" w:cs="Times New Roman"/>
        </w:rPr>
        <w:t xml:space="preserve">. A limitation of many concurrent enrollment impact studies is that the </w:t>
      </w:r>
      <w:r w:rsidR="006201FE" w:rsidRPr="00396CDF">
        <w:rPr>
          <w:rFonts w:ascii="Times New Roman" w:hAnsi="Times New Roman" w:cs="Times New Roman"/>
        </w:rPr>
        <w:t xml:space="preserve">nature of the </w:t>
      </w:r>
      <w:r w:rsidR="00172756" w:rsidRPr="00396CDF">
        <w:rPr>
          <w:rFonts w:ascii="Times New Roman" w:hAnsi="Times New Roman" w:cs="Times New Roman"/>
        </w:rPr>
        <w:t xml:space="preserve">‘treatment’ is relatively ambiguous, including important instructional and environmental factors described above that are conceptually related to quality. </w:t>
      </w:r>
      <w:r w:rsidR="006201FE" w:rsidRPr="00396CDF">
        <w:rPr>
          <w:rFonts w:ascii="Times New Roman" w:hAnsi="Times New Roman" w:cs="Times New Roman"/>
        </w:rPr>
        <w:t xml:space="preserve">That is, there is little information about teaching and learning, instructional design, faculty qualifications and </w:t>
      </w:r>
      <w:r w:rsidR="00E11CC9" w:rsidRPr="00396CDF">
        <w:rPr>
          <w:rFonts w:ascii="Times New Roman" w:hAnsi="Times New Roman" w:cs="Times New Roman"/>
        </w:rPr>
        <w:t xml:space="preserve">student learning outcomes. </w:t>
      </w:r>
      <w:r w:rsidR="006201FE" w:rsidRPr="00396CDF">
        <w:rPr>
          <w:rFonts w:ascii="Times New Roman" w:hAnsi="Times New Roman" w:cs="Times New Roman"/>
        </w:rPr>
        <w:t>For example, frequently cited studies that have documented the positive relationship between concurrent enrollment</w:t>
      </w:r>
      <w:r w:rsidR="00AF68B9" w:rsidRPr="00396CDF">
        <w:rPr>
          <w:rFonts w:ascii="Times New Roman" w:hAnsi="Times New Roman" w:cs="Times New Roman"/>
        </w:rPr>
        <w:t xml:space="preserve"> and postsecondary success (Alle</w:t>
      </w:r>
      <w:r w:rsidR="006201FE" w:rsidRPr="00396CDF">
        <w:rPr>
          <w:rFonts w:ascii="Times New Roman" w:hAnsi="Times New Roman" w:cs="Times New Roman"/>
        </w:rPr>
        <w:t>n</w:t>
      </w:r>
      <w:r w:rsidR="00BA578A" w:rsidRPr="00396CDF">
        <w:rPr>
          <w:rFonts w:ascii="Times New Roman" w:hAnsi="Times New Roman" w:cs="Times New Roman"/>
        </w:rPr>
        <w:t xml:space="preserve"> &amp; Dadgar</w:t>
      </w:r>
      <w:r w:rsidR="006201FE" w:rsidRPr="00396CDF">
        <w:rPr>
          <w:rFonts w:ascii="Times New Roman" w:hAnsi="Times New Roman" w:cs="Times New Roman"/>
        </w:rPr>
        <w:t>, 2012; An, 2013; Karp et al., Speroni, 2012; Struhl &amp; Vargas, 2012; Swanson, 2008</w:t>
      </w:r>
      <w:r w:rsidR="00BA578A" w:rsidRPr="00396CDF">
        <w:rPr>
          <w:rFonts w:ascii="Times New Roman" w:hAnsi="Times New Roman" w:cs="Times New Roman"/>
        </w:rPr>
        <w:t>; Taylor, 2013</w:t>
      </w:r>
      <w:r w:rsidR="006201FE" w:rsidRPr="00396CDF">
        <w:rPr>
          <w:rFonts w:ascii="Times New Roman" w:hAnsi="Times New Roman" w:cs="Times New Roman"/>
        </w:rPr>
        <w:t xml:space="preserve">) that use state-wide or national data sets </w:t>
      </w:r>
      <w:r w:rsidR="00BA578A" w:rsidRPr="00396CDF">
        <w:rPr>
          <w:rFonts w:ascii="Times New Roman" w:hAnsi="Times New Roman" w:cs="Times New Roman"/>
        </w:rPr>
        <w:t xml:space="preserve">often </w:t>
      </w:r>
      <w:r w:rsidR="006201FE" w:rsidRPr="00396CDF">
        <w:rPr>
          <w:rFonts w:ascii="Times New Roman" w:hAnsi="Times New Roman" w:cs="Times New Roman"/>
        </w:rPr>
        <w:t xml:space="preserve">fail to provide substantive data on the nature of the concurrent enrollment experience or environment. This is often a limitation of datasets or conditions beyond the control of the researcher, but the question remains whether the treatment reflects quality concurrent enrollment such as those </w:t>
      </w:r>
      <w:r w:rsidR="00833BAB" w:rsidRPr="00396CDF">
        <w:rPr>
          <w:rFonts w:ascii="Times New Roman" w:hAnsi="Times New Roman" w:cs="Times New Roman"/>
        </w:rPr>
        <w:t xml:space="preserve">concurrent enrollment courses based on </w:t>
      </w:r>
      <w:r w:rsidR="006201FE" w:rsidRPr="00396CDF">
        <w:rPr>
          <w:rFonts w:ascii="Times New Roman" w:hAnsi="Times New Roman" w:cs="Times New Roman"/>
        </w:rPr>
        <w:t xml:space="preserve">the NACEP model. </w:t>
      </w:r>
    </w:p>
    <w:p w14:paraId="20218669" w14:textId="77777777" w:rsidR="00C7288E" w:rsidRPr="00396CDF" w:rsidRDefault="00C7288E" w:rsidP="00C7288E">
      <w:pPr>
        <w:rPr>
          <w:rFonts w:ascii="Times New Roman" w:hAnsi="Times New Roman" w:cs="Times New Roman"/>
        </w:rPr>
      </w:pPr>
    </w:p>
    <w:p w14:paraId="2C460AC2" w14:textId="339D7765" w:rsidR="00D16AF6" w:rsidRPr="00396CDF" w:rsidRDefault="006201FE" w:rsidP="00092B64">
      <w:pPr>
        <w:rPr>
          <w:rFonts w:ascii="Times New Roman" w:hAnsi="Times New Roman" w:cs="Times New Roman"/>
        </w:rPr>
      </w:pPr>
      <w:r w:rsidRPr="00396CDF">
        <w:rPr>
          <w:rFonts w:ascii="Times New Roman" w:hAnsi="Times New Roman" w:cs="Times New Roman"/>
        </w:rPr>
        <w:t xml:space="preserve">A second contribution of </w:t>
      </w:r>
      <w:r w:rsidR="009A37D6" w:rsidRPr="00396CDF">
        <w:rPr>
          <w:rFonts w:ascii="Times New Roman" w:hAnsi="Times New Roman" w:cs="Times New Roman"/>
        </w:rPr>
        <w:t xml:space="preserve">the proposed </w:t>
      </w:r>
      <w:r w:rsidRPr="00396CDF">
        <w:rPr>
          <w:rFonts w:ascii="Times New Roman" w:hAnsi="Times New Roman" w:cs="Times New Roman"/>
        </w:rPr>
        <w:t xml:space="preserve">study to the literature is the use of more rigorous quantitative methods that account for student-level and school-level factors that affect treatment selection. Several studies have used </w:t>
      </w:r>
      <w:r w:rsidR="00AF68B9" w:rsidRPr="00396CDF">
        <w:rPr>
          <w:rFonts w:ascii="Times New Roman" w:hAnsi="Times New Roman" w:cs="Times New Roman"/>
        </w:rPr>
        <w:t>quasi-experimental designs (Alle</w:t>
      </w:r>
      <w:r w:rsidRPr="00396CDF">
        <w:rPr>
          <w:rFonts w:ascii="Times New Roman" w:hAnsi="Times New Roman" w:cs="Times New Roman"/>
        </w:rPr>
        <w:t>n</w:t>
      </w:r>
      <w:r w:rsidR="00AF68B9" w:rsidRPr="00396CDF">
        <w:rPr>
          <w:rFonts w:ascii="Times New Roman" w:hAnsi="Times New Roman" w:cs="Times New Roman"/>
        </w:rPr>
        <w:t xml:space="preserve"> &amp; Dadgar, 2012</w:t>
      </w:r>
      <w:r w:rsidRPr="00396CDF">
        <w:rPr>
          <w:rFonts w:ascii="Times New Roman" w:hAnsi="Times New Roman" w:cs="Times New Roman"/>
        </w:rPr>
        <w:t xml:space="preserve">; An, 2012, 2013; </w:t>
      </w:r>
      <w:r w:rsidR="009A37D6" w:rsidRPr="00396CDF">
        <w:rPr>
          <w:rFonts w:ascii="Times New Roman" w:hAnsi="Times New Roman" w:cs="Times New Roman"/>
        </w:rPr>
        <w:t>Speroni, 2011; Struhl &amp; Vargas, 2012</w:t>
      </w:r>
      <w:r w:rsidR="00BA578A" w:rsidRPr="00396CDF">
        <w:rPr>
          <w:rFonts w:ascii="Times New Roman" w:hAnsi="Times New Roman" w:cs="Times New Roman"/>
        </w:rPr>
        <w:t>; Taylor, 2013</w:t>
      </w:r>
      <w:r w:rsidR="008270B6" w:rsidRPr="00396CDF">
        <w:rPr>
          <w:rFonts w:ascii="Times New Roman" w:hAnsi="Times New Roman" w:cs="Times New Roman"/>
        </w:rPr>
        <w:t xml:space="preserve">) and another group of studies have used regression-based approaches with various degrees of control variables (Bragg &amp; Kim, 2008; Karp et al., 2007; Swanson, 2008). </w:t>
      </w:r>
      <w:r w:rsidR="009A37D6" w:rsidRPr="00396CDF">
        <w:rPr>
          <w:rFonts w:ascii="Times New Roman" w:hAnsi="Times New Roman" w:cs="Times New Roman"/>
        </w:rPr>
        <w:t xml:space="preserve">The proposed study will contribute to the former group of studies that uses a quasi-experimental </w:t>
      </w:r>
      <w:r w:rsidR="00E11CC9" w:rsidRPr="00396CDF">
        <w:rPr>
          <w:rFonts w:ascii="Times New Roman" w:hAnsi="Times New Roman" w:cs="Times New Roman"/>
        </w:rPr>
        <w:t xml:space="preserve">design </w:t>
      </w:r>
      <w:r w:rsidR="009A37D6" w:rsidRPr="00396CDF">
        <w:rPr>
          <w:rFonts w:ascii="Times New Roman" w:hAnsi="Times New Roman" w:cs="Times New Roman"/>
        </w:rPr>
        <w:t xml:space="preserve">in the context of concurrent enrollment. </w:t>
      </w:r>
    </w:p>
    <w:p w14:paraId="48DED1C9" w14:textId="77777777" w:rsidR="001E2975" w:rsidRPr="00396CDF" w:rsidRDefault="001E2975" w:rsidP="00092B64">
      <w:pPr>
        <w:rPr>
          <w:rFonts w:ascii="Times New Roman" w:hAnsi="Times New Roman" w:cs="Times New Roman"/>
        </w:rPr>
      </w:pPr>
    </w:p>
    <w:p w14:paraId="3C7EE9A2" w14:textId="50C07836" w:rsidR="001F5F3C" w:rsidRPr="00396CDF" w:rsidRDefault="00917113" w:rsidP="00E619F6">
      <w:pPr>
        <w:jc w:val="center"/>
        <w:rPr>
          <w:rFonts w:ascii="Times New Roman" w:hAnsi="Times New Roman" w:cs="Times New Roman"/>
          <w:b/>
        </w:rPr>
      </w:pPr>
      <w:r w:rsidRPr="00396CDF">
        <w:rPr>
          <w:rFonts w:ascii="Times New Roman" w:hAnsi="Times New Roman" w:cs="Times New Roman"/>
          <w:b/>
        </w:rPr>
        <w:t>PROPOSED METHODS</w:t>
      </w:r>
    </w:p>
    <w:p w14:paraId="0B491166" w14:textId="77777777" w:rsidR="00E619F6" w:rsidRPr="00396CDF" w:rsidRDefault="00E619F6" w:rsidP="00092B64">
      <w:pPr>
        <w:rPr>
          <w:rFonts w:ascii="Times New Roman" w:hAnsi="Times New Roman" w:cs="Times New Roman"/>
        </w:rPr>
      </w:pPr>
    </w:p>
    <w:p w14:paraId="7180352A" w14:textId="43FD927E" w:rsidR="00AC1C78" w:rsidRPr="00396CDF" w:rsidRDefault="00E619F6" w:rsidP="00092B64">
      <w:pPr>
        <w:rPr>
          <w:rFonts w:ascii="Times New Roman" w:hAnsi="Times New Roman" w:cs="Times New Roman"/>
        </w:rPr>
      </w:pPr>
      <w:r w:rsidRPr="00396CDF">
        <w:rPr>
          <w:rFonts w:ascii="Times New Roman" w:hAnsi="Times New Roman" w:cs="Times New Roman"/>
        </w:rPr>
        <w:t>T</w:t>
      </w:r>
      <w:r w:rsidR="00917113" w:rsidRPr="00396CDF">
        <w:rPr>
          <w:rFonts w:ascii="Times New Roman" w:hAnsi="Times New Roman" w:cs="Times New Roman"/>
        </w:rPr>
        <w:t xml:space="preserve">he proposed study is a </w:t>
      </w:r>
      <w:r w:rsidR="006B7DD4" w:rsidRPr="00396CDF">
        <w:rPr>
          <w:rFonts w:ascii="Times New Roman" w:hAnsi="Times New Roman" w:cs="Times New Roman"/>
        </w:rPr>
        <w:t xml:space="preserve">two-phase </w:t>
      </w:r>
      <w:r w:rsidR="00917113" w:rsidRPr="00396CDF">
        <w:rPr>
          <w:rFonts w:ascii="Times New Roman" w:hAnsi="Times New Roman" w:cs="Times New Roman"/>
        </w:rPr>
        <w:t xml:space="preserve">mixed </w:t>
      </w:r>
      <w:r w:rsidR="00192825" w:rsidRPr="00396CDF">
        <w:rPr>
          <w:rFonts w:ascii="Times New Roman" w:hAnsi="Times New Roman" w:cs="Times New Roman"/>
        </w:rPr>
        <w:t>method</w:t>
      </w:r>
      <w:r w:rsidR="00917113" w:rsidRPr="00396CDF">
        <w:rPr>
          <w:rFonts w:ascii="Times New Roman" w:hAnsi="Times New Roman" w:cs="Times New Roman"/>
        </w:rPr>
        <w:t xml:space="preserve"> quantitative-dominant model that addresses the primary research question about the effect of q</w:t>
      </w:r>
      <w:r w:rsidRPr="00396CDF">
        <w:rPr>
          <w:rFonts w:ascii="Times New Roman" w:hAnsi="Times New Roman" w:cs="Times New Roman"/>
        </w:rPr>
        <w:t>uality concurrent enrollment on</w:t>
      </w:r>
      <w:r w:rsidR="00917113" w:rsidRPr="00396CDF">
        <w:rPr>
          <w:rFonts w:ascii="Times New Roman" w:hAnsi="Times New Roman" w:cs="Times New Roman"/>
        </w:rPr>
        <w:t xml:space="preserve"> the postsecondary academic success of students. </w:t>
      </w:r>
      <w:r w:rsidR="00F56F54" w:rsidRPr="00396CDF">
        <w:rPr>
          <w:rFonts w:ascii="Times New Roman" w:hAnsi="Times New Roman" w:cs="Times New Roman"/>
        </w:rPr>
        <w:t xml:space="preserve">Phase One </w:t>
      </w:r>
      <w:r w:rsidRPr="00396CDF">
        <w:rPr>
          <w:rFonts w:ascii="Times New Roman" w:hAnsi="Times New Roman" w:cs="Times New Roman"/>
        </w:rPr>
        <w:t xml:space="preserve">is a quantitative retrospective study </w:t>
      </w:r>
      <w:r w:rsidR="00265479" w:rsidRPr="00396CDF">
        <w:rPr>
          <w:rFonts w:ascii="Times New Roman" w:hAnsi="Times New Roman" w:cs="Times New Roman"/>
        </w:rPr>
        <w:t xml:space="preserve">that will use </w:t>
      </w:r>
      <w:r w:rsidRPr="00396CDF">
        <w:rPr>
          <w:rFonts w:ascii="Times New Roman" w:hAnsi="Times New Roman" w:cs="Times New Roman"/>
        </w:rPr>
        <w:t xml:space="preserve">historical data from </w:t>
      </w:r>
      <w:r w:rsidR="006B7DD4" w:rsidRPr="00396CDF">
        <w:rPr>
          <w:rFonts w:ascii="Times New Roman" w:hAnsi="Times New Roman" w:cs="Times New Roman"/>
        </w:rPr>
        <w:t xml:space="preserve">approximately </w:t>
      </w:r>
      <w:r w:rsidR="00C84CA3" w:rsidRPr="00396CDF">
        <w:rPr>
          <w:rFonts w:ascii="Times New Roman" w:hAnsi="Times New Roman" w:cs="Times New Roman"/>
        </w:rPr>
        <w:t>8</w:t>
      </w:r>
      <w:r w:rsidRPr="00396CDF">
        <w:rPr>
          <w:rFonts w:ascii="Times New Roman" w:hAnsi="Times New Roman" w:cs="Times New Roman"/>
        </w:rPr>
        <w:t xml:space="preserve"> concurrent enrollment partnerships</w:t>
      </w:r>
      <w:r w:rsidR="00C84CA3" w:rsidRPr="00396CDF">
        <w:rPr>
          <w:rStyle w:val="FootnoteReference"/>
          <w:rFonts w:ascii="Times New Roman" w:hAnsi="Times New Roman" w:cs="Times New Roman"/>
        </w:rPr>
        <w:footnoteReference w:id="1"/>
      </w:r>
      <w:r w:rsidR="00F56F54" w:rsidRPr="00396CDF">
        <w:rPr>
          <w:rFonts w:ascii="Times New Roman" w:hAnsi="Times New Roman" w:cs="Times New Roman"/>
        </w:rPr>
        <w:t xml:space="preserve"> based on a sample of high school students who graduated in 2010</w:t>
      </w:r>
      <w:r w:rsidRPr="00396CDF">
        <w:rPr>
          <w:rFonts w:ascii="Times New Roman" w:hAnsi="Times New Roman" w:cs="Times New Roman"/>
        </w:rPr>
        <w:t xml:space="preserve">. The research </w:t>
      </w:r>
      <w:r w:rsidR="00265479" w:rsidRPr="00396CDF">
        <w:rPr>
          <w:rFonts w:ascii="Times New Roman" w:hAnsi="Times New Roman" w:cs="Times New Roman"/>
        </w:rPr>
        <w:t xml:space="preserve">design will employ </w:t>
      </w:r>
      <w:r w:rsidR="002D48BA" w:rsidRPr="00396CDF">
        <w:rPr>
          <w:rFonts w:ascii="Times New Roman" w:hAnsi="Times New Roman" w:cs="Times New Roman"/>
        </w:rPr>
        <w:t>a rigorous quantitative technique</w:t>
      </w:r>
      <w:r w:rsidR="006B7DD4" w:rsidRPr="00396CDF">
        <w:rPr>
          <w:rFonts w:ascii="Times New Roman" w:hAnsi="Times New Roman" w:cs="Times New Roman"/>
        </w:rPr>
        <w:t xml:space="preserve"> when using observational data—propensity score matching—</w:t>
      </w:r>
      <w:r w:rsidR="00265479" w:rsidRPr="00396CDF">
        <w:rPr>
          <w:rFonts w:ascii="Times New Roman" w:hAnsi="Times New Roman" w:cs="Times New Roman"/>
        </w:rPr>
        <w:t>to estimate the average treatment effect</w:t>
      </w:r>
      <w:r w:rsidR="00F56F54" w:rsidRPr="00396CDF">
        <w:rPr>
          <w:rFonts w:ascii="Times New Roman" w:hAnsi="Times New Roman" w:cs="Times New Roman"/>
        </w:rPr>
        <w:t xml:space="preserve"> of concurrent enrollment participation on </w:t>
      </w:r>
      <w:r w:rsidR="006B7DD4" w:rsidRPr="00396CDF">
        <w:rPr>
          <w:rFonts w:ascii="Times New Roman" w:hAnsi="Times New Roman" w:cs="Times New Roman"/>
        </w:rPr>
        <w:t xml:space="preserve">the </w:t>
      </w:r>
      <w:r w:rsidR="00F56F54" w:rsidRPr="00396CDF">
        <w:rPr>
          <w:rFonts w:ascii="Times New Roman" w:hAnsi="Times New Roman" w:cs="Times New Roman"/>
        </w:rPr>
        <w:t>postsecondary success of students three years after high school graduation</w:t>
      </w:r>
      <w:r w:rsidR="00265479" w:rsidRPr="00396CDF">
        <w:rPr>
          <w:rFonts w:ascii="Times New Roman" w:hAnsi="Times New Roman" w:cs="Times New Roman"/>
        </w:rPr>
        <w:t>.</w:t>
      </w:r>
      <w:r w:rsidR="00F56F54" w:rsidRPr="00396CDF">
        <w:rPr>
          <w:rFonts w:ascii="Times New Roman" w:hAnsi="Times New Roman" w:cs="Times New Roman"/>
        </w:rPr>
        <w:t xml:space="preserve"> </w:t>
      </w:r>
      <w:r w:rsidR="00EB16FF" w:rsidRPr="00396CDF">
        <w:rPr>
          <w:rFonts w:ascii="Times New Roman" w:hAnsi="Times New Roman" w:cs="Times New Roman"/>
        </w:rPr>
        <w:t>Propensity score matching is a</w:t>
      </w:r>
      <w:r w:rsidR="00FE7C27" w:rsidRPr="00396CDF">
        <w:rPr>
          <w:rFonts w:ascii="Times New Roman" w:hAnsi="Times New Roman" w:cs="Times New Roman"/>
        </w:rPr>
        <w:t xml:space="preserve"> quasi-experimental design that provides an estimate of the average treatment effect (ATE) using observational data</w:t>
      </w:r>
      <w:r w:rsidR="00FB2DE8" w:rsidRPr="00396CDF">
        <w:rPr>
          <w:rFonts w:ascii="Times New Roman" w:hAnsi="Times New Roman" w:cs="Times New Roman"/>
        </w:rPr>
        <w:t xml:space="preserve"> by reducing selection bias (Rosenbaum &amp; Rubin, 1983; Shadish, Cook, &amp; Campbell, 2002)</w:t>
      </w:r>
      <w:r w:rsidR="00FE7C27" w:rsidRPr="00396CDF">
        <w:rPr>
          <w:rFonts w:ascii="Times New Roman" w:hAnsi="Times New Roman" w:cs="Times New Roman"/>
        </w:rPr>
        <w:t>. Assuming that selection bias is adequately accounted for in the model</w:t>
      </w:r>
      <w:r w:rsidR="00DE3366" w:rsidRPr="00396CDF">
        <w:rPr>
          <w:rFonts w:ascii="Times New Roman" w:hAnsi="Times New Roman" w:cs="Times New Roman"/>
        </w:rPr>
        <w:t xml:space="preserve"> and the strongly ignorable treatment assignment assumption </w:t>
      </w:r>
      <w:r w:rsidR="005804D4" w:rsidRPr="00396CDF">
        <w:rPr>
          <w:rFonts w:ascii="Times New Roman" w:hAnsi="Times New Roman" w:cs="Times New Roman"/>
        </w:rPr>
        <w:t xml:space="preserve">is demonstrated </w:t>
      </w:r>
      <w:r w:rsidR="00DE3366" w:rsidRPr="00396CDF">
        <w:rPr>
          <w:rFonts w:ascii="Times New Roman" w:hAnsi="Times New Roman" w:cs="Times New Roman"/>
        </w:rPr>
        <w:t>(Morgan &amp; Winship</w:t>
      </w:r>
      <w:r w:rsidR="00FB2DE8" w:rsidRPr="00396CDF">
        <w:rPr>
          <w:rFonts w:ascii="Times New Roman" w:hAnsi="Times New Roman" w:cs="Times New Roman"/>
        </w:rPr>
        <w:t>, 2007; Murnane &amp; Willett, 2011)</w:t>
      </w:r>
      <w:r w:rsidR="00FE7C27" w:rsidRPr="00396CDF">
        <w:rPr>
          <w:rFonts w:ascii="Times New Roman" w:hAnsi="Times New Roman" w:cs="Times New Roman"/>
        </w:rPr>
        <w:t xml:space="preserve">, propensity score matching allows for an unbiased causal estimate of the ATE that, after adequate matching and </w:t>
      </w:r>
      <w:r w:rsidR="00DE3366" w:rsidRPr="00396CDF">
        <w:rPr>
          <w:rFonts w:ascii="Times New Roman" w:hAnsi="Times New Roman" w:cs="Times New Roman"/>
        </w:rPr>
        <w:t>examination of covariate imbalance</w:t>
      </w:r>
      <w:r w:rsidR="00FE7C27" w:rsidRPr="00396CDF">
        <w:rPr>
          <w:rFonts w:ascii="Times New Roman" w:hAnsi="Times New Roman" w:cs="Times New Roman"/>
        </w:rPr>
        <w:t xml:space="preserve">, is simply calculated by taking the difference in the average outcomes of the treatment and control groups. </w:t>
      </w:r>
    </w:p>
    <w:p w14:paraId="19E8AC6A" w14:textId="77777777" w:rsidR="00AC1C78" w:rsidRPr="00396CDF" w:rsidRDefault="00AC1C78" w:rsidP="00092B64">
      <w:pPr>
        <w:rPr>
          <w:rFonts w:ascii="Times New Roman" w:hAnsi="Times New Roman" w:cs="Times New Roman"/>
        </w:rPr>
      </w:pPr>
    </w:p>
    <w:p w14:paraId="033CA868" w14:textId="0B9B2519" w:rsidR="00F41CB2" w:rsidRPr="00396CDF" w:rsidRDefault="00F77CF8" w:rsidP="00092B64">
      <w:pPr>
        <w:rPr>
          <w:rFonts w:ascii="Times New Roman" w:hAnsi="Times New Roman" w:cs="Times New Roman"/>
        </w:rPr>
      </w:pPr>
      <w:r w:rsidRPr="00396CDF">
        <w:rPr>
          <w:rFonts w:ascii="Times New Roman" w:hAnsi="Times New Roman" w:cs="Times New Roman"/>
        </w:rPr>
        <w:lastRenderedPageBreak/>
        <w:t>In the absence of random assignment, it is methodologically challenging to determine the counterfactual and make causal inferences</w:t>
      </w:r>
      <w:r w:rsidR="00AC1C78" w:rsidRPr="00396CDF">
        <w:rPr>
          <w:rFonts w:ascii="Times New Roman" w:hAnsi="Times New Roman" w:cs="Times New Roman"/>
        </w:rPr>
        <w:t xml:space="preserve"> (Shadish, Cook, &amp; Campbell, 2002),</w:t>
      </w:r>
      <w:r w:rsidRPr="00396CDF">
        <w:rPr>
          <w:rFonts w:ascii="Times New Roman" w:hAnsi="Times New Roman" w:cs="Times New Roman"/>
        </w:rPr>
        <w:t xml:space="preserve"> but method</w:t>
      </w:r>
      <w:r w:rsidR="00AC1C78" w:rsidRPr="00396CDF">
        <w:rPr>
          <w:rFonts w:ascii="Times New Roman" w:hAnsi="Times New Roman" w:cs="Times New Roman"/>
        </w:rPr>
        <w:t>s</w:t>
      </w:r>
      <w:r w:rsidRPr="00396CDF">
        <w:rPr>
          <w:rFonts w:ascii="Times New Roman" w:hAnsi="Times New Roman" w:cs="Times New Roman"/>
        </w:rPr>
        <w:t xml:space="preserve"> such as propensity score matching allow for </w:t>
      </w:r>
      <w:r w:rsidR="00180673" w:rsidRPr="00396CDF">
        <w:rPr>
          <w:rFonts w:ascii="Times New Roman" w:hAnsi="Times New Roman" w:cs="Times New Roman"/>
        </w:rPr>
        <w:t xml:space="preserve">such estimates, conditional that certain assumptions are met. </w:t>
      </w:r>
      <w:r w:rsidR="00FE7C27" w:rsidRPr="00396CDF">
        <w:rPr>
          <w:rFonts w:ascii="Times New Roman" w:hAnsi="Times New Roman" w:cs="Times New Roman"/>
        </w:rPr>
        <w:t xml:space="preserve">Because the datasets used in this study </w:t>
      </w:r>
      <w:r w:rsidR="0076226A" w:rsidRPr="00396CDF">
        <w:rPr>
          <w:rFonts w:ascii="Times New Roman" w:hAnsi="Times New Roman" w:cs="Times New Roman"/>
        </w:rPr>
        <w:t xml:space="preserve">cannot fully </w:t>
      </w:r>
      <w:r w:rsidR="00FE7C27" w:rsidRPr="00396CDF">
        <w:rPr>
          <w:rFonts w:ascii="Times New Roman" w:hAnsi="Times New Roman" w:cs="Times New Roman"/>
        </w:rPr>
        <w:t>account for selection bias (i.e., all factors that influence selection into the treatment or control group)</w:t>
      </w:r>
      <w:r w:rsidR="00AC1C78" w:rsidRPr="00396CDF">
        <w:rPr>
          <w:rFonts w:ascii="Times New Roman" w:hAnsi="Times New Roman" w:cs="Times New Roman"/>
        </w:rPr>
        <w:t xml:space="preserve"> or hidden bias (Shadish, Cook &amp; Campbell, 2002)</w:t>
      </w:r>
      <w:r w:rsidR="00180673" w:rsidRPr="00396CDF">
        <w:rPr>
          <w:rFonts w:ascii="Times New Roman" w:hAnsi="Times New Roman" w:cs="Times New Roman"/>
        </w:rPr>
        <w:t xml:space="preserve">, causation cannot be inferred. However, </w:t>
      </w:r>
      <w:r w:rsidR="00FE7C27" w:rsidRPr="00396CDF">
        <w:rPr>
          <w:rFonts w:ascii="Times New Roman" w:hAnsi="Times New Roman" w:cs="Times New Roman"/>
        </w:rPr>
        <w:t>propensity score matching is considered to provide a more unbiased es</w:t>
      </w:r>
      <w:r w:rsidR="00AC1C78" w:rsidRPr="00396CDF">
        <w:rPr>
          <w:rFonts w:ascii="Times New Roman" w:hAnsi="Times New Roman" w:cs="Times New Roman"/>
        </w:rPr>
        <w:t>timate of treatment effects than</w:t>
      </w:r>
      <w:r w:rsidR="00FE7C27" w:rsidRPr="00396CDF">
        <w:rPr>
          <w:rFonts w:ascii="Times New Roman" w:hAnsi="Times New Roman" w:cs="Times New Roman"/>
        </w:rPr>
        <w:t xml:space="preserve"> ord</w:t>
      </w:r>
      <w:r w:rsidR="00CA229A" w:rsidRPr="00396CDF">
        <w:rPr>
          <w:rFonts w:ascii="Times New Roman" w:hAnsi="Times New Roman" w:cs="Times New Roman"/>
        </w:rPr>
        <w:t>inary least squares regression</w:t>
      </w:r>
      <w:r w:rsidR="00FE7C27" w:rsidRPr="00396CDF">
        <w:rPr>
          <w:rFonts w:ascii="Times New Roman" w:hAnsi="Times New Roman" w:cs="Times New Roman"/>
        </w:rPr>
        <w:t xml:space="preserve">. As described below, measures of academic performance </w:t>
      </w:r>
      <w:r w:rsidR="007858FF" w:rsidRPr="00396CDF">
        <w:rPr>
          <w:rFonts w:ascii="Times New Roman" w:hAnsi="Times New Roman" w:cs="Times New Roman"/>
        </w:rPr>
        <w:t xml:space="preserve">and demographic indicators </w:t>
      </w:r>
      <w:r w:rsidR="00FE7C27" w:rsidRPr="00396CDF">
        <w:rPr>
          <w:rFonts w:ascii="Times New Roman" w:hAnsi="Times New Roman" w:cs="Times New Roman"/>
        </w:rPr>
        <w:t xml:space="preserve">will be the primary variables used </w:t>
      </w:r>
      <w:r w:rsidR="00AC1C78" w:rsidRPr="00396CDF">
        <w:rPr>
          <w:rFonts w:ascii="Times New Roman" w:hAnsi="Times New Roman" w:cs="Times New Roman"/>
        </w:rPr>
        <w:t xml:space="preserve">as a proxy for </w:t>
      </w:r>
      <w:r w:rsidR="00FE7C27" w:rsidRPr="00396CDF">
        <w:rPr>
          <w:rFonts w:ascii="Times New Roman" w:hAnsi="Times New Roman" w:cs="Times New Roman"/>
        </w:rPr>
        <w:t>selection bias, as well as a matching technique that matches within high schools</w:t>
      </w:r>
      <w:r w:rsidR="00AC1C78" w:rsidRPr="00396CDF">
        <w:rPr>
          <w:rFonts w:ascii="Times New Roman" w:hAnsi="Times New Roman" w:cs="Times New Roman"/>
        </w:rPr>
        <w:t xml:space="preserve"> and account for school-level variation that might influence treatment selection</w:t>
      </w:r>
      <w:r w:rsidR="00FE7C27" w:rsidRPr="00396CDF">
        <w:rPr>
          <w:rFonts w:ascii="Times New Roman" w:hAnsi="Times New Roman" w:cs="Times New Roman"/>
        </w:rPr>
        <w:t xml:space="preserve">. </w:t>
      </w:r>
    </w:p>
    <w:p w14:paraId="4F2941B0" w14:textId="77777777" w:rsidR="00F41CB2" w:rsidRPr="00396CDF" w:rsidRDefault="00F41CB2" w:rsidP="00092B64">
      <w:pPr>
        <w:rPr>
          <w:rFonts w:ascii="Times New Roman" w:hAnsi="Times New Roman" w:cs="Times New Roman"/>
        </w:rPr>
      </w:pPr>
    </w:p>
    <w:p w14:paraId="7D4F3377" w14:textId="21C6BC99" w:rsidR="00F41CB2" w:rsidRPr="00396CDF" w:rsidRDefault="00F56F54" w:rsidP="00092B64">
      <w:pPr>
        <w:rPr>
          <w:rFonts w:ascii="Times New Roman" w:hAnsi="Times New Roman" w:cs="Times New Roman"/>
        </w:rPr>
      </w:pPr>
      <w:r w:rsidRPr="00396CDF">
        <w:rPr>
          <w:rFonts w:ascii="Times New Roman" w:hAnsi="Times New Roman" w:cs="Times New Roman"/>
        </w:rPr>
        <w:t>Phase Two will employ a similar quantitative design as that used in Phase One, but will be a prospective study of high school students who graduated high school in spring 2014</w:t>
      </w:r>
      <w:r w:rsidR="00AC1C78" w:rsidRPr="00396CDF">
        <w:rPr>
          <w:rFonts w:ascii="Times New Roman" w:hAnsi="Times New Roman" w:cs="Times New Roman"/>
        </w:rPr>
        <w:t>,</w:t>
      </w:r>
      <w:r w:rsidR="00F41CB2" w:rsidRPr="00396CDF">
        <w:rPr>
          <w:rFonts w:ascii="Times New Roman" w:hAnsi="Times New Roman" w:cs="Times New Roman"/>
        </w:rPr>
        <w:t xml:space="preserve"> and </w:t>
      </w:r>
      <w:r w:rsidR="00AC1C78" w:rsidRPr="00396CDF">
        <w:rPr>
          <w:rFonts w:ascii="Times New Roman" w:hAnsi="Times New Roman" w:cs="Times New Roman"/>
        </w:rPr>
        <w:t xml:space="preserve">the study </w:t>
      </w:r>
      <w:r w:rsidR="00F41CB2" w:rsidRPr="00396CDF">
        <w:rPr>
          <w:rFonts w:ascii="Times New Roman" w:hAnsi="Times New Roman" w:cs="Times New Roman"/>
        </w:rPr>
        <w:t xml:space="preserve">follow these students </w:t>
      </w:r>
      <w:r w:rsidR="00AC1C78" w:rsidRPr="00396CDF">
        <w:rPr>
          <w:rFonts w:ascii="Times New Roman" w:hAnsi="Times New Roman" w:cs="Times New Roman"/>
        </w:rPr>
        <w:t xml:space="preserve">into college </w:t>
      </w:r>
      <w:r w:rsidR="00F41CB2" w:rsidRPr="00396CDF">
        <w:rPr>
          <w:rFonts w:ascii="Times New Roman" w:hAnsi="Times New Roman" w:cs="Times New Roman"/>
        </w:rPr>
        <w:t>through spring 2017</w:t>
      </w:r>
      <w:r w:rsidRPr="00396CDF">
        <w:rPr>
          <w:rFonts w:ascii="Times New Roman" w:hAnsi="Times New Roman" w:cs="Times New Roman"/>
        </w:rPr>
        <w:t xml:space="preserve">. The advantage of the prospective study in Phase Two is that the researchers will work individually with concurrent enrollment partnerships to define nuanced measures of </w:t>
      </w:r>
      <w:r w:rsidR="008D1433" w:rsidRPr="00396CDF">
        <w:rPr>
          <w:rFonts w:ascii="Times New Roman" w:hAnsi="Times New Roman" w:cs="Times New Roman"/>
        </w:rPr>
        <w:t xml:space="preserve">students’ </w:t>
      </w:r>
      <w:r w:rsidRPr="00396CDF">
        <w:rPr>
          <w:rFonts w:ascii="Times New Roman" w:hAnsi="Times New Roman" w:cs="Times New Roman"/>
        </w:rPr>
        <w:t>concurre</w:t>
      </w:r>
      <w:r w:rsidR="008D1433" w:rsidRPr="00396CDF">
        <w:rPr>
          <w:rFonts w:ascii="Times New Roman" w:hAnsi="Times New Roman" w:cs="Times New Roman"/>
        </w:rPr>
        <w:t xml:space="preserve">nt enrollment participation and the collection of additional control variables to ensure that selection bias is adequately accounted for using propensity score matching. </w:t>
      </w:r>
      <w:r w:rsidR="00F41CB2" w:rsidRPr="00396CDF">
        <w:rPr>
          <w:rFonts w:ascii="Times New Roman" w:hAnsi="Times New Roman" w:cs="Times New Roman"/>
        </w:rPr>
        <w:t xml:space="preserve"> Multi-level modeling </w:t>
      </w:r>
      <w:r w:rsidR="00180673" w:rsidRPr="00396CDF">
        <w:rPr>
          <w:rFonts w:ascii="Times New Roman" w:hAnsi="Times New Roman" w:cs="Times New Roman"/>
        </w:rPr>
        <w:t xml:space="preserve">may </w:t>
      </w:r>
      <w:r w:rsidR="00F41CB2" w:rsidRPr="00396CDF">
        <w:rPr>
          <w:rFonts w:ascii="Times New Roman" w:hAnsi="Times New Roman" w:cs="Times New Roman"/>
        </w:rPr>
        <w:t xml:space="preserve">also be employed to determine whether differences in outcomes are accounted for at the student-level or institutional-level. </w:t>
      </w:r>
    </w:p>
    <w:p w14:paraId="72D8D3A7" w14:textId="77777777" w:rsidR="00F41CB2" w:rsidRPr="00396CDF" w:rsidRDefault="00F41CB2" w:rsidP="00092B64">
      <w:pPr>
        <w:rPr>
          <w:rFonts w:ascii="Times New Roman" w:hAnsi="Times New Roman" w:cs="Times New Roman"/>
        </w:rPr>
      </w:pPr>
    </w:p>
    <w:p w14:paraId="2CA802F9" w14:textId="33899BDA" w:rsidR="00EA24D1" w:rsidRPr="00396CDF" w:rsidRDefault="00EA24D1" w:rsidP="00092B64">
      <w:pPr>
        <w:rPr>
          <w:rFonts w:ascii="Times New Roman" w:hAnsi="Times New Roman" w:cs="Times New Roman"/>
        </w:rPr>
      </w:pPr>
      <w:r w:rsidRPr="00396CDF">
        <w:rPr>
          <w:rFonts w:ascii="Times New Roman" w:hAnsi="Times New Roman" w:cs="Times New Roman"/>
        </w:rPr>
        <w:t xml:space="preserve">Key to the quantitative component of this research is examining the equitable effects of quality concurrent enrollment. This analysis, conducted in both Phase One and Phase Two, will concentrate on three sub-samples of students: low-income students, students of color, and low-achieving students. The focus of these analyses will be to consider the differential impacts of participation in quality concurrent enrollment relative to their more advantaged peers. </w:t>
      </w:r>
    </w:p>
    <w:p w14:paraId="4486C367" w14:textId="77777777" w:rsidR="00EA24D1" w:rsidRPr="00396CDF" w:rsidRDefault="00EA24D1" w:rsidP="00092B64">
      <w:pPr>
        <w:rPr>
          <w:rFonts w:ascii="Times New Roman" w:hAnsi="Times New Roman" w:cs="Times New Roman"/>
        </w:rPr>
      </w:pPr>
    </w:p>
    <w:p w14:paraId="03B8185F" w14:textId="147DBDCD" w:rsidR="00E619F6" w:rsidRPr="00396CDF" w:rsidRDefault="00F41CB2" w:rsidP="00092B64">
      <w:pPr>
        <w:rPr>
          <w:rFonts w:ascii="Times New Roman" w:hAnsi="Times New Roman" w:cs="Times New Roman"/>
        </w:rPr>
      </w:pPr>
      <w:r w:rsidRPr="00396CDF">
        <w:rPr>
          <w:rFonts w:ascii="Times New Roman" w:hAnsi="Times New Roman" w:cs="Times New Roman"/>
        </w:rPr>
        <w:t>In addition to the quantitative analysis in Phase Two, a complementary qualitative study will use case study methods to examine the meaning and m</w:t>
      </w:r>
      <w:r w:rsidR="003D481C" w:rsidRPr="00396CDF">
        <w:rPr>
          <w:rFonts w:ascii="Times New Roman" w:hAnsi="Times New Roman" w:cs="Times New Roman"/>
        </w:rPr>
        <w:t>ani</w:t>
      </w:r>
      <w:r w:rsidR="002D48BA" w:rsidRPr="00396CDF">
        <w:rPr>
          <w:rFonts w:ascii="Times New Roman" w:hAnsi="Times New Roman" w:cs="Times New Roman"/>
        </w:rPr>
        <w:t>festation of ‘quality’ in two or</w:t>
      </w:r>
      <w:r w:rsidR="003D481C" w:rsidRPr="00396CDF">
        <w:rPr>
          <w:rFonts w:ascii="Times New Roman" w:hAnsi="Times New Roman" w:cs="Times New Roman"/>
        </w:rPr>
        <w:t xml:space="preserve"> three</w:t>
      </w:r>
      <w:r w:rsidRPr="00396CDF">
        <w:rPr>
          <w:rFonts w:ascii="Times New Roman" w:hAnsi="Times New Roman" w:cs="Times New Roman"/>
        </w:rPr>
        <w:t xml:space="preserve"> concurrent enrollment partnerships. This </w:t>
      </w:r>
      <w:r w:rsidR="003D481C" w:rsidRPr="00396CDF">
        <w:rPr>
          <w:rFonts w:ascii="Times New Roman" w:hAnsi="Times New Roman" w:cs="Times New Roman"/>
        </w:rPr>
        <w:t xml:space="preserve">multiple case study </w:t>
      </w:r>
      <w:r w:rsidR="0007377C" w:rsidRPr="00396CDF">
        <w:rPr>
          <w:rFonts w:ascii="Times New Roman" w:hAnsi="Times New Roman" w:cs="Times New Roman"/>
        </w:rPr>
        <w:t xml:space="preserve">approach </w:t>
      </w:r>
      <w:r w:rsidR="003D481C" w:rsidRPr="00396CDF">
        <w:rPr>
          <w:rFonts w:ascii="Times New Roman" w:hAnsi="Times New Roman" w:cs="Times New Roman"/>
        </w:rPr>
        <w:t>(</w:t>
      </w:r>
      <w:r w:rsidR="0007377C" w:rsidRPr="00396CDF">
        <w:rPr>
          <w:rFonts w:ascii="Times New Roman" w:hAnsi="Times New Roman" w:cs="Times New Roman"/>
        </w:rPr>
        <w:t>Yin, 2009</w:t>
      </w:r>
      <w:r w:rsidR="003D481C" w:rsidRPr="00396CDF">
        <w:rPr>
          <w:rFonts w:ascii="Times New Roman" w:hAnsi="Times New Roman" w:cs="Times New Roman"/>
        </w:rPr>
        <w:t xml:space="preserve">) </w:t>
      </w:r>
      <w:r w:rsidRPr="00396CDF">
        <w:rPr>
          <w:rFonts w:ascii="Times New Roman" w:hAnsi="Times New Roman" w:cs="Times New Roman"/>
        </w:rPr>
        <w:t>will draw on the unique e</w:t>
      </w:r>
      <w:r w:rsidR="003D481C" w:rsidRPr="00396CDF">
        <w:rPr>
          <w:rFonts w:ascii="Times New Roman" w:hAnsi="Times New Roman" w:cs="Times New Roman"/>
        </w:rPr>
        <w:t>xperiences and contexts of the</w:t>
      </w:r>
      <w:r w:rsidRPr="00396CDF">
        <w:rPr>
          <w:rFonts w:ascii="Times New Roman" w:hAnsi="Times New Roman" w:cs="Times New Roman"/>
        </w:rPr>
        <w:t xml:space="preserve"> concurrent enrollment partnerships </w:t>
      </w:r>
      <w:r w:rsidR="003D481C" w:rsidRPr="00396CDF">
        <w:rPr>
          <w:rFonts w:ascii="Times New Roman" w:hAnsi="Times New Roman" w:cs="Times New Roman"/>
        </w:rPr>
        <w:t xml:space="preserve">and </w:t>
      </w:r>
      <w:r w:rsidRPr="00396CDF">
        <w:rPr>
          <w:rFonts w:ascii="Times New Roman" w:hAnsi="Times New Roman" w:cs="Times New Roman"/>
        </w:rPr>
        <w:t xml:space="preserve">examine how and in what ways quality is embodied in NACEP accreditation. This aspect of the study is critical to documenting and articulating the meaning of quality concurrent enrollment and will provide a context for understanding and interpreting the results of the quantitative </w:t>
      </w:r>
      <w:r w:rsidR="003D481C" w:rsidRPr="00396CDF">
        <w:rPr>
          <w:rFonts w:ascii="Times New Roman" w:hAnsi="Times New Roman" w:cs="Times New Roman"/>
        </w:rPr>
        <w:t>analysis</w:t>
      </w:r>
      <w:r w:rsidRPr="00396CDF">
        <w:rPr>
          <w:rFonts w:ascii="Times New Roman" w:hAnsi="Times New Roman" w:cs="Times New Roman"/>
        </w:rPr>
        <w:t xml:space="preserve">. </w:t>
      </w:r>
    </w:p>
    <w:p w14:paraId="6AF17946" w14:textId="77777777" w:rsidR="00265479" w:rsidRPr="00396CDF" w:rsidRDefault="00265479" w:rsidP="00092B64">
      <w:pPr>
        <w:rPr>
          <w:rFonts w:ascii="Times New Roman" w:hAnsi="Times New Roman" w:cs="Times New Roman"/>
        </w:rPr>
      </w:pPr>
    </w:p>
    <w:p w14:paraId="48950C09" w14:textId="77777777" w:rsidR="00E619F6" w:rsidRPr="00396CDF" w:rsidRDefault="00E619F6" w:rsidP="00092B64">
      <w:pPr>
        <w:rPr>
          <w:rFonts w:ascii="Times New Roman" w:hAnsi="Times New Roman" w:cs="Times New Roman"/>
        </w:rPr>
      </w:pPr>
    </w:p>
    <w:p w14:paraId="2722E7CF" w14:textId="6A354163" w:rsidR="00AE3697" w:rsidRPr="00396CDF" w:rsidRDefault="009647E6" w:rsidP="00092B64">
      <w:pPr>
        <w:rPr>
          <w:rFonts w:ascii="Times New Roman" w:hAnsi="Times New Roman" w:cs="Times New Roman"/>
          <w:b/>
        </w:rPr>
      </w:pPr>
      <w:r w:rsidRPr="00396CDF">
        <w:rPr>
          <w:rFonts w:ascii="Times New Roman" w:hAnsi="Times New Roman" w:cs="Times New Roman"/>
          <w:b/>
        </w:rPr>
        <w:t>Phase One</w:t>
      </w:r>
    </w:p>
    <w:p w14:paraId="261A6EE1" w14:textId="2D1FC358" w:rsidR="0031556D" w:rsidRPr="00396CDF" w:rsidRDefault="00341CDD" w:rsidP="00092B64">
      <w:pPr>
        <w:rPr>
          <w:rFonts w:ascii="Times New Roman" w:hAnsi="Times New Roman" w:cs="Times New Roman"/>
        </w:rPr>
      </w:pPr>
      <w:r w:rsidRPr="00396CDF">
        <w:rPr>
          <w:rFonts w:ascii="Times New Roman" w:hAnsi="Times New Roman" w:cs="Times New Roman"/>
        </w:rPr>
        <w:t xml:space="preserve">The purpose of </w:t>
      </w:r>
      <w:r w:rsidR="00EC5CA0" w:rsidRPr="00396CDF">
        <w:rPr>
          <w:rFonts w:ascii="Times New Roman" w:hAnsi="Times New Roman" w:cs="Times New Roman"/>
        </w:rPr>
        <w:t>Phase One of the</w:t>
      </w:r>
      <w:r w:rsidRPr="00396CDF">
        <w:rPr>
          <w:rFonts w:ascii="Times New Roman" w:hAnsi="Times New Roman" w:cs="Times New Roman"/>
        </w:rPr>
        <w:t xml:space="preserve"> study is to examine the impact of </w:t>
      </w:r>
      <w:r w:rsidR="00DD4B58" w:rsidRPr="00396CDF">
        <w:rPr>
          <w:rFonts w:ascii="Times New Roman" w:hAnsi="Times New Roman" w:cs="Times New Roman"/>
        </w:rPr>
        <w:t xml:space="preserve">quality concurrent enrollment courses using a retrospective quasi-experimental design. </w:t>
      </w:r>
      <w:r w:rsidR="00EB16FF" w:rsidRPr="00396CDF">
        <w:rPr>
          <w:rFonts w:ascii="Times New Roman" w:hAnsi="Times New Roman" w:cs="Times New Roman"/>
        </w:rPr>
        <w:t xml:space="preserve">Quasi-experimental design is used in </w:t>
      </w:r>
      <w:r w:rsidR="0031556D" w:rsidRPr="00396CDF">
        <w:rPr>
          <w:rFonts w:ascii="Times New Roman" w:hAnsi="Times New Roman" w:cs="Times New Roman"/>
        </w:rPr>
        <w:t xml:space="preserve">social science </w:t>
      </w:r>
      <w:r w:rsidR="00EB16FF" w:rsidRPr="00396CDF">
        <w:rPr>
          <w:rFonts w:ascii="Times New Roman" w:hAnsi="Times New Roman" w:cs="Times New Roman"/>
        </w:rPr>
        <w:t xml:space="preserve">research in the absence of experimental studies that use random assignment and </w:t>
      </w:r>
      <w:r w:rsidR="0031556D" w:rsidRPr="00396CDF">
        <w:rPr>
          <w:rFonts w:ascii="Times New Roman" w:hAnsi="Times New Roman" w:cs="Times New Roman"/>
        </w:rPr>
        <w:t xml:space="preserve">are </w:t>
      </w:r>
      <w:r w:rsidR="00EB16FF" w:rsidRPr="00396CDF">
        <w:rPr>
          <w:rFonts w:ascii="Times New Roman" w:hAnsi="Times New Roman" w:cs="Times New Roman"/>
        </w:rPr>
        <w:t>able to infer causality (Murnane &amp; Willett; 2011;</w:t>
      </w:r>
      <w:r w:rsidR="0031556D" w:rsidRPr="00396CDF">
        <w:rPr>
          <w:rFonts w:ascii="Times New Roman" w:hAnsi="Times New Roman" w:cs="Times New Roman"/>
        </w:rPr>
        <w:t xml:space="preserve"> Shadish, Cook &amp; Campbell, 2002</w:t>
      </w:r>
      <w:r w:rsidR="00EB16FF" w:rsidRPr="00396CDF">
        <w:rPr>
          <w:rFonts w:ascii="Times New Roman" w:hAnsi="Times New Roman" w:cs="Times New Roman"/>
        </w:rPr>
        <w:t xml:space="preserve">). Given the unique and ethnical challenges associated with </w:t>
      </w:r>
      <w:r w:rsidR="00EB16FF" w:rsidRPr="00396CDF">
        <w:rPr>
          <w:rFonts w:ascii="Times New Roman" w:hAnsi="Times New Roman" w:cs="Times New Roman"/>
        </w:rPr>
        <w:lastRenderedPageBreak/>
        <w:t>random assignment, quasi-experimental designs are appropriate for approximating causal inference</w:t>
      </w:r>
      <w:r w:rsidR="0031556D" w:rsidRPr="00396CDF">
        <w:rPr>
          <w:rFonts w:ascii="Times New Roman" w:hAnsi="Times New Roman" w:cs="Times New Roman"/>
        </w:rPr>
        <w:t>, conditional that the treatment assignment is strongly ignorable. Because the secondary datasets used in this study do not include all variables that influence selection into the treatment</w:t>
      </w:r>
      <w:r w:rsidR="00773CE9" w:rsidRPr="00396CDF">
        <w:rPr>
          <w:rFonts w:ascii="Times New Roman" w:hAnsi="Times New Roman" w:cs="Times New Roman"/>
        </w:rPr>
        <w:t xml:space="preserve"> (e.g., motivation, college aspirations and intent, etc.)</w:t>
      </w:r>
      <w:r w:rsidR="0031556D" w:rsidRPr="00396CDF">
        <w:rPr>
          <w:rFonts w:ascii="Times New Roman" w:hAnsi="Times New Roman" w:cs="Times New Roman"/>
        </w:rPr>
        <w:t xml:space="preserve">, causality cannot be inferred. </w:t>
      </w:r>
    </w:p>
    <w:p w14:paraId="1E7637B9" w14:textId="77777777" w:rsidR="0031556D" w:rsidRPr="00396CDF" w:rsidRDefault="0031556D" w:rsidP="00092B64">
      <w:pPr>
        <w:rPr>
          <w:rFonts w:ascii="Times New Roman" w:hAnsi="Times New Roman" w:cs="Times New Roman"/>
        </w:rPr>
      </w:pPr>
    </w:p>
    <w:p w14:paraId="356BC15C" w14:textId="5B060200" w:rsidR="0069290C" w:rsidRPr="00396CDF" w:rsidRDefault="0031556D" w:rsidP="00092B64">
      <w:pPr>
        <w:rPr>
          <w:rFonts w:ascii="Times New Roman" w:hAnsi="Times New Roman" w:cs="Times New Roman"/>
        </w:rPr>
      </w:pPr>
      <w:r w:rsidRPr="00396CDF">
        <w:rPr>
          <w:rFonts w:ascii="Times New Roman" w:hAnsi="Times New Roman" w:cs="Times New Roman"/>
        </w:rPr>
        <w:t xml:space="preserve">However, the use of propensity score matching is a viable alternative to determine an unbiased estimate of the ATE. </w:t>
      </w:r>
      <w:r w:rsidR="00F30B0C" w:rsidRPr="00396CDF">
        <w:rPr>
          <w:rFonts w:ascii="Times New Roman" w:hAnsi="Times New Roman" w:cs="Times New Roman"/>
        </w:rPr>
        <w:t xml:space="preserve">The propensity score is a balancing score </w:t>
      </w:r>
      <w:proofErr w:type="gramStart"/>
      <w:r w:rsidR="00F30B0C" w:rsidRPr="00396CDF">
        <w:rPr>
          <w:rFonts w:ascii="Times New Roman" w:hAnsi="Times New Roman" w:cs="Times New Roman"/>
          <w:i/>
        </w:rPr>
        <w:t>b(</w:t>
      </w:r>
      <w:proofErr w:type="gramEnd"/>
      <w:r w:rsidR="00F30B0C" w:rsidRPr="00396CDF">
        <w:rPr>
          <w:rFonts w:ascii="Times New Roman" w:hAnsi="Times New Roman" w:cs="Times New Roman"/>
          <w:i/>
        </w:rPr>
        <w:t>x)</w:t>
      </w:r>
      <w:r w:rsidR="00F30B0C" w:rsidRPr="00396CDF">
        <w:rPr>
          <w:rFonts w:ascii="Times New Roman" w:hAnsi="Times New Roman" w:cs="Times New Roman"/>
        </w:rPr>
        <w:t xml:space="preserve"> </w:t>
      </w:r>
      <w:r w:rsidR="007B1FA0" w:rsidRPr="00396CDF">
        <w:rPr>
          <w:rFonts w:ascii="Times New Roman" w:hAnsi="Times New Roman" w:cs="Times New Roman"/>
        </w:rPr>
        <w:t xml:space="preserve">where observed variables </w:t>
      </w:r>
      <w:r w:rsidR="007B1FA0" w:rsidRPr="00396CDF">
        <w:rPr>
          <w:rFonts w:ascii="Times New Roman" w:hAnsi="Times New Roman" w:cs="Times New Roman"/>
          <w:i/>
        </w:rPr>
        <w:t>x</w:t>
      </w:r>
      <w:r w:rsidR="007B1FA0" w:rsidRPr="00396CDF">
        <w:rPr>
          <w:rFonts w:ascii="Times New Roman" w:hAnsi="Times New Roman" w:cs="Times New Roman"/>
        </w:rPr>
        <w:t xml:space="preserve"> are conditionally distributed similarly for treatment (z=1) and control (z=0) units (Rosenbaum &amp; Rubin, 1983</w:t>
      </w:r>
      <w:r w:rsidR="00F30B0C" w:rsidRPr="00396CDF">
        <w:rPr>
          <w:rFonts w:ascii="Times New Roman" w:hAnsi="Times New Roman" w:cs="Times New Roman"/>
        </w:rPr>
        <w:t xml:space="preserve">). </w:t>
      </w:r>
      <w:r w:rsidR="00637AE3" w:rsidRPr="00396CDF">
        <w:rPr>
          <w:rFonts w:ascii="Times New Roman" w:hAnsi="Times New Roman" w:cs="Times New Roman"/>
        </w:rPr>
        <w:t xml:space="preserve">That is, on average there is no observable difference on </w:t>
      </w:r>
      <w:r w:rsidR="00637AE3" w:rsidRPr="00396CDF">
        <w:rPr>
          <w:rFonts w:ascii="Times New Roman" w:hAnsi="Times New Roman" w:cs="Times New Roman"/>
          <w:i/>
        </w:rPr>
        <w:t>x</w:t>
      </w:r>
      <w:r w:rsidR="00637AE3" w:rsidRPr="00396CDF">
        <w:rPr>
          <w:rFonts w:ascii="Times New Roman" w:hAnsi="Times New Roman" w:cs="Times New Roman"/>
        </w:rPr>
        <w:t xml:space="preserve"> between the treatment and control groups. </w:t>
      </w:r>
      <w:r w:rsidR="00773CE9" w:rsidRPr="00396CDF">
        <w:rPr>
          <w:rFonts w:ascii="Times New Roman" w:hAnsi="Times New Roman" w:cs="Times New Roman"/>
        </w:rPr>
        <w:t xml:space="preserve">After the propensity score is matched between treatment and control group units, the average difference between treatment and control group </w:t>
      </w:r>
      <w:r w:rsidR="00637AE3" w:rsidRPr="00396CDF">
        <w:rPr>
          <w:rFonts w:ascii="Times New Roman" w:hAnsi="Times New Roman" w:cs="Times New Roman"/>
        </w:rPr>
        <w:t xml:space="preserve">outcomes </w:t>
      </w:r>
      <w:r w:rsidR="00773CE9" w:rsidRPr="00396CDF">
        <w:rPr>
          <w:rFonts w:ascii="Times New Roman" w:hAnsi="Times New Roman" w:cs="Times New Roman"/>
        </w:rPr>
        <w:t xml:space="preserve">provides an unbiased estimate of the average treatment effect (on the treated). </w:t>
      </w:r>
    </w:p>
    <w:p w14:paraId="49C4519B" w14:textId="77777777" w:rsidR="009647E6" w:rsidRPr="00396CDF" w:rsidRDefault="009647E6" w:rsidP="00092B64">
      <w:pPr>
        <w:rPr>
          <w:rFonts w:ascii="Times New Roman" w:hAnsi="Times New Roman" w:cs="Times New Roman"/>
        </w:rPr>
      </w:pPr>
    </w:p>
    <w:p w14:paraId="22D48F39" w14:textId="183F71CF" w:rsidR="008F1A84" w:rsidRPr="00396CDF" w:rsidRDefault="008F1A84" w:rsidP="00092B64">
      <w:pPr>
        <w:rPr>
          <w:rFonts w:ascii="Times New Roman" w:hAnsi="Times New Roman" w:cs="Times New Roman"/>
        </w:rPr>
      </w:pPr>
      <w:r w:rsidRPr="00396CDF">
        <w:rPr>
          <w:rFonts w:ascii="Times New Roman" w:hAnsi="Times New Roman" w:cs="Times New Roman"/>
          <w:b/>
        </w:rPr>
        <w:t>Research Questions</w:t>
      </w:r>
      <w:r w:rsidR="00637AE3" w:rsidRPr="00396CDF">
        <w:rPr>
          <w:rFonts w:ascii="Times New Roman" w:hAnsi="Times New Roman" w:cs="Times New Roman"/>
          <w:b/>
        </w:rPr>
        <w:t>.</w:t>
      </w:r>
      <w:r w:rsidR="00637AE3" w:rsidRPr="00396CDF">
        <w:rPr>
          <w:rFonts w:ascii="Times New Roman" w:hAnsi="Times New Roman" w:cs="Times New Roman"/>
        </w:rPr>
        <w:t xml:space="preserve"> </w:t>
      </w:r>
      <w:r w:rsidRPr="00396CDF">
        <w:rPr>
          <w:rFonts w:ascii="Times New Roman" w:hAnsi="Times New Roman" w:cs="Times New Roman"/>
        </w:rPr>
        <w:t xml:space="preserve">The following specific research questions will be answered in this </w:t>
      </w:r>
      <w:r w:rsidR="00396CDF">
        <w:rPr>
          <w:rFonts w:ascii="Times New Roman" w:hAnsi="Times New Roman" w:cs="Times New Roman"/>
        </w:rPr>
        <w:t xml:space="preserve">phase </w:t>
      </w:r>
      <w:r w:rsidRPr="00396CDF">
        <w:rPr>
          <w:rFonts w:ascii="Times New Roman" w:hAnsi="Times New Roman" w:cs="Times New Roman"/>
        </w:rPr>
        <w:t>of the study:</w:t>
      </w:r>
    </w:p>
    <w:p w14:paraId="7CC2151B" w14:textId="77777777" w:rsidR="008F1A84" w:rsidRPr="00396CDF" w:rsidRDefault="008F1A84" w:rsidP="00C80BA8">
      <w:pPr>
        <w:pStyle w:val="ListParagraph"/>
        <w:numPr>
          <w:ilvl w:val="0"/>
          <w:numId w:val="9"/>
        </w:numPr>
        <w:rPr>
          <w:rFonts w:ascii="Times New Roman" w:hAnsi="Times New Roman" w:cs="Times New Roman"/>
        </w:rPr>
      </w:pPr>
      <w:r w:rsidRPr="00396CDF">
        <w:rPr>
          <w:rFonts w:ascii="Times New Roman" w:hAnsi="Times New Roman" w:cs="Times New Roman"/>
        </w:rPr>
        <w:t>What is the impact of quality concurrent enrollment on immediate college enrollment?</w:t>
      </w:r>
    </w:p>
    <w:p w14:paraId="3A67C915" w14:textId="77777777" w:rsidR="008F1A84" w:rsidRPr="00396CDF" w:rsidRDefault="008F1A84" w:rsidP="00C80BA8">
      <w:pPr>
        <w:pStyle w:val="ListParagraph"/>
        <w:numPr>
          <w:ilvl w:val="0"/>
          <w:numId w:val="9"/>
        </w:numPr>
        <w:rPr>
          <w:rFonts w:ascii="Times New Roman" w:hAnsi="Times New Roman" w:cs="Times New Roman"/>
        </w:rPr>
      </w:pPr>
      <w:r w:rsidRPr="00396CDF">
        <w:rPr>
          <w:rFonts w:ascii="Times New Roman" w:hAnsi="Times New Roman" w:cs="Times New Roman"/>
        </w:rPr>
        <w:t>What is the impact of quality concurrent enrollment on fall-to-spring persistence?</w:t>
      </w:r>
    </w:p>
    <w:p w14:paraId="43AE9219" w14:textId="77777777" w:rsidR="008F1A84" w:rsidRPr="00396CDF" w:rsidRDefault="008F1A84" w:rsidP="00C80BA8">
      <w:pPr>
        <w:pStyle w:val="ListParagraph"/>
        <w:numPr>
          <w:ilvl w:val="0"/>
          <w:numId w:val="9"/>
        </w:numPr>
        <w:rPr>
          <w:rFonts w:ascii="Times New Roman" w:hAnsi="Times New Roman" w:cs="Times New Roman"/>
        </w:rPr>
      </w:pPr>
      <w:r w:rsidRPr="00396CDF">
        <w:rPr>
          <w:rFonts w:ascii="Times New Roman" w:hAnsi="Times New Roman" w:cs="Times New Roman"/>
        </w:rPr>
        <w:t>What is the impact of quality concurrent enrollment on fall-to-fall persistence?</w:t>
      </w:r>
    </w:p>
    <w:p w14:paraId="1CCD39F4" w14:textId="77777777" w:rsidR="008F1A84" w:rsidRPr="00396CDF" w:rsidRDefault="008F1A84" w:rsidP="00C80BA8">
      <w:pPr>
        <w:pStyle w:val="ListParagraph"/>
        <w:numPr>
          <w:ilvl w:val="0"/>
          <w:numId w:val="9"/>
        </w:numPr>
        <w:rPr>
          <w:rFonts w:ascii="Times New Roman" w:hAnsi="Times New Roman" w:cs="Times New Roman"/>
        </w:rPr>
      </w:pPr>
      <w:r w:rsidRPr="00396CDF">
        <w:rPr>
          <w:rFonts w:ascii="Times New Roman" w:hAnsi="Times New Roman" w:cs="Times New Roman"/>
        </w:rPr>
        <w:t xml:space="preserve">What is the impact of quality concurrent enrollment on college completion? </w:t>
      </w:r>
    </w:p>
    <w:p w14:paraId="0BA54607" w14:textId="77777777" w:rsidR="008F1A84" w:rsidRPr="00396CDF" w:rsidRDefault="008F1A84" w:rsidP="00092B64">
      <w:pPr>
        <w:rPr>
          <w:rFonts w:ascii="Times New Roman" w:hAnsi="Times New Roman" w:cs="Times New Roman"/>
        </w:rPr>
      </w:pPr>
    </w:p>
    <w:p w14:paraId="75E053AB" w14:textId="1CB19466" w:rsidR="00EC5CA0" w:rsidRPr="00396CDF" w:rsidRDefault="0069290C" w:rsidP="00092B64">
      <w:pPr>
        <w:rPr>
          <w:rFonts w:ascii="Times New Roman" w:hAnsi="Times New Roman" w:cs="Times New Roman"/>
        </w:rPr>
      </w:pPr>
      <w:r w:rsidRPr="00396CDF">
        <w:rPr>
          <w:rFonts w:ascii="Times New Roman" w:hAnsi="Times New Roman" w:cs="Times New Roman"/>
          <w:b/>
        </w:rPr>
        <w:t xml:space="preserve">Data Collection and </w:t>
      </w:r>
      <w:r w:rsidR="009647E6" w:rsidRPr="00396CDF">
        <w:rPr>
          <w:rFonts w:ascii="Times New Roman" w:hAnsi="Times New Roman" w:cs="Times New Roman"/>
          <w:b/>
        </w:rPr>
        <w:t xml:space="preserve">Sample. </w:t>
      </w:r>
      <w:r w:rsidR="009647E6" w:rsidRPr="00396CDF">
        <w:rPr>
          <w:rFonts w:ascii="Times New Roman" w:hAnsi="Times New Roman" w:cs="Times New Roman"/>
        </w:rPr>
        <w:t xml:space="preserve">The sample for Phase One </w:t>
      </w:r>
      <w:r w:rsidR="00E03955" w:rsidRPr="00396CDF">
        <w:rPr>
          <w:rFonts w:ascii="Times New Roman" w:hAnsi="Times New Roman" w:cs="Times New Roman"/>
        </w:rPr>
        <w:t xml:space="preserve">is a cross-sectional sample and </w:t>
      </w:r>
      <w:r w:rsidR="009647E6" w:rsidRPr="00396CDF">
        <w:rPr>
          <w:rFonts w:ascii="Times New Roman" w:hAnsi="Times New Roman" w:cs="Times New Roman"/>
        </w:rPr>
        <w:t xml:space="preserve">will </w:t>
      </w:r>
      <w:r w:rsidR="00E03955" w:rsidRPr="00396CDF">
        <w:rPr>
          <w:rFonts w:ascii="Times New Roman" w:hAnsi="Times New Roman" w:cs="Times New Roman"/>
        </w:rPr>
        <w:t xml:space="preserve">include </w:t>
      </w:r>
      <w:r w:rsidR="009647E6" w:rsidRPr="00396CDF">
        <w:rPr>
          <w:rFonts w:ascii="Times New Roman" w:hAnsi="Times New Roman" w:cs="Times New Roman"/>
        </w:rPr>
        <w:t xml:space="preserve">all students graduating in (Spring) 2010 from high schools engaged in the </w:t>
      </w:r>
      <w:r w:rsidRPr="00396CDF">
        <w:rPr>
          <w:rFonts w:ascii="Times New Roman" w:hAnsi="Times New Roman" w:cs="Times New Roman"/>
        </w:rPr>
        <w:t>institutional</w:t>
      </w:r>
      <w:r w:rsidR="009647E6" w:rsidRPr="00396CDF">
        <w:rPr>
          <w:rFonts w:ascii="Times New Roman" w:hAnsi="Times New Roman" w:cs="Times New Roman"/>
        </w:rPr>
        <w:t xml:space="preserve"> concurrent enrollment partnership</w:t>
      </w:r>
      <w:r w:rsidRPr="00396CDF">
        <w:rPr>
          <w:rFonts w:ascii="Times New Roman" w:hAnsi="Times New Roman" w:cs="Times New Roman"/>
        </w:rPr>
        <w:t>s</w:t>
      </w:r>
      <w:r w:rsidR="00EC5CA0" w:rsidRPr="00396CDF">
        <w:rPr>
          <w:rFonts w:ascii="Times New Roman" w:hAnsi="Times New Roman" w:cs="Times New Roman"/>
        </w:rPr>
        <w:t xml:space="preserve"> of approximately </w:t>
      </w:r>
      <w:r w:rsidR="00706377" w:rsidRPr="00396CDF">
        <w:rPr>
          <w:rFonts w:ascii="Times New Roman" w:hAnsi="Times New Roman" w:cs="Times New Roman"/>
        </w:rPr>
        <w:t>8</w:t>
      </w:r>
      <w:r w:rsidR="00373007" w:rsidRPr="00396CDF">
        <w:rPr>
          <w:rFonts w:ascii="Times New Roman" w:hAnsi="Times New Roman" w:cs="Times New Roman"/>
        </w:rPr>
        <w:t xml:space="preserve"> </w:t>
      </w:r>
      <w:r w:rsidR="00EC5CA0" w:rsidRPr="00396CDF">
        <w:rPr>
          <w:rFonts w:ascii="Times New Roman" w:hAnsi="Times New Roman" w:cs="Times New Roman"/>
        </w:rPr>
        <w:t xml:space="preserve">NACEP accredited </w:t>
      </w:r>
      <w:r w:rsidR="009728C3" w:rsidRPr="00396CDF">
        <w:rPr>
          <w:rFonts w:ascii="Times New Roman" w:hAnsi="Times New Roman" w:cs="Times New Roman"/>
        </w:rPr>
        <w:t xml:space="preserve">colleges and universities. These ten institutions of higher education (IHE) are diverse and represent many institutional types, summarized in Table 1. </w:t>
      </w:r>
      <w:r w:rsidR="00EC5CA0" w:rsidRPr="00396CDF">
        <w:rPr>
          <w:rFonts w:ascii="Times New Roman" w:hAnsi="Times New Roman" w:cs="Times New Roman"/>
        </w:rPr>
        <w:t>T</w:t>
      </w:r>
      <w:r w:rsidRPr="00396CDF">
        <w:rPr>
          <w:rFonts w:ascii="Times New Roman" w:hAnsi="Times New Roman" w:cs="Times New Roman"/>
        </w:rPr>
        <w:t xml:space="preserve">he intention of this study is to collect </w:t>
      </w:r>
      <w:r w:rsidR="00EC5CA0" w:rsidRPr="00396CDF">
        <w:rPr>
          <w:rFonts w:ascii="Times New Roman" w:hAnsi="Times New Roman" w:cs="Times New Roman"/>
        </w:rPr>
        <w:t xml:space="preserve">data on </w:t>
      </w:r>
      <w:r w:rsidRPr="00396CDF">
        <w:rPr>
          <w:rFonts w:ascii="Times New Roman" w:hAnsi="Times New Roman" w:cs="Times New Roman"/>
        </w:rPr>
        <w:t xml:space="preserve">the </w:t>
      </w:r>
      <w:r w:rsidRPr="00396CDF">
        <w:rPr>
          <w:rFonts w:ascii="Times New Roman" w:hAnsi="Times New Roman" w:cs="Times New Roman"/>
          <w:i/>
        </w:rPr>
        <w:t>entire population</w:t>
      </w:r>
      <w:r w:rsidRPr="00396CDF">
        <w:rPr>
          <w:rFonts w:ascii="Times New Roman" w:hAnsi="Times New Roman" w:cs="Times New Roman"/>
        </w:rPr>
        <w:t xml:space="preserve"> of high school students who graduated in Spring 2010. </w:t>
      </w:r>
    </w:p>
    <w:p w14:paraId="4BF04566" w14:textId="77777777" w:rsidR="00EC5CA0" w:rsidRPr="00396CDF" w:rsidRDefault="00EC5CA0" w:rsidP="00092B64">
      <w:pPr>
        <w:rPr>
          <w:rFonts w:ascii="Times New Roman" w:hAnsi="Times New Roman" w:cs="Times New Roman"/>
        </w:rPr>
      </w:pPr>
    </w:p>
    <w:p w14:paraId="3AF4452F" w14:textId="3D907FE6" w:rsidR="009647E6" w:rsidRPr="00396CDF" w:rsidRDefault="0069290C" w:rsidP="00092B64">
      <w:pPr>
        <w:rPr>
          <w:rFonts w:ascii="Times New Roman" w:hAnsi="Times New Roman" w:cs="Times New Roman"/>
        </w:rPr>
      </w:pPr>
      <w:r w:rsidRPr="00396CDF">
        <w:rPr>
          <w:rFonts w:ascii="Times New Roman" w:hAnsi="Times New Roman" w:cs="Times New Roman"/>
        </w:rPr>
        <w:t xml:space="preserve">Data will be collected directly from the </w:t>
      </w:r>
      <w:r w:rsidR="00706377" w:rsidRPr="00396CDF">
        <w:rPr>
          <w:rFonts w:ascii="Times New Roman" w:hAnsi="Times New Roman" w:cs="Times New Roman"/>
        </w:rPr>
        <w:t>8</w:t>
      </w:r>
      <w:r w:rsidRPr="00396CDF">
        <w:rPr>
          <w:rFonts w:ascii="Times New Roman" w:hAnsi="Times New Roman" w:cs="Times New Roman"/>
        </w:rPr>
        <w:t xml:space="preserve"> coll</w:t>
      </w:r>
      <w:r w:rsidR="00A21EB1" w:rsidRPr="00396CDF">
        <w:rPr>
          <w:rFonts w:ascii="Times New Roman" w:hAnsi="Times New Roman" w:cs="Times New Roman"/>
        </w:rPr>
        <w:t>eges who</w:t>
      </w:r>
      <w:r w:rsidRPr="00396CDF">
        <w:rPr>
          <w:rFonts w:ascii="Times New Roman" w:hAnsi="Times New Roman" w:cs="Times New Roman"/>
        </w:rPr>
        <w:t xml:space="preserve"> will collaborate with </w:t>
      </w:r>
      <w:r w:rsidR="002D48BA" w:rsidRPr="00396CDF">
        <w:rPr>
          <w:rFonts w:ascii="Times New Roman" w:hAnsi="Times New Roman" w:cs="Times New Roman"/>
        </w:rPr>
        <w:t xml:space="preserve">state agencies and local </w:t>
      </w:r>
      <w:r w:rsidRPr="00396CDF">
        <w:rPr>
          <w:rFonts w:ascii="Times New Roman" w:hAnsi="Times New Roman" w:cs="Times New Roman"/>
        </w:rPr>
        <w:t>high schools to f</w:t>
      </w:r>
      <w:r w:rsidR="00CF6BAD" w:rsidRPr="00396CDF">
        <w:rPr>
          <w:rFonts w:ascii="Times New Roman" w:hAnsi="Times New Roman" w:cs="Times New Roman"/>
        </w:rPr>
        <w:t xml:space="preserve">ulfill a data request based on a standard data dictionary.  Colleges will submit data electronically to the researchers for data cleaning and analysis. </w:t>
      </w:r>
      <w:r w:rsidR="00D3005B" w:rsidRPr="00396CDF">
        <w:rPr>
          <w:rFonts w:ascii="Times New Roman" w:hAnsi="Times New Roman" w:cs="Times New Roman"/>
        </w:rPr>
        <w:t xml:space="preserve">The dependent variables will </w:t>
      </w:r>
      <w:r w:rsidR="002D48BA" w:rsidRPr="00396CDF">
        <w:rPr>
          <w:rFonts w:ascii="Times New Roman" w:hAnsi="Times New Roman" w:cs="Times New Roman"/>
        </w:rPr>
        <w:t xml:space="preserve">primarily </w:t>
      </w:r>
      <w:r w:rsidR="00D3005B" w:rsidRPr="00396CDF">
        <w:rPr>
          <w:rFonts w:ascii="Times New Roman" w:hAnsi="Times New Roman" w:cs="Times New Roman"/>
        </w:rPr>
        <w:t xml:space="preserve">rely on data from the National Student Clearinghouse. </w:t>
      </w:r>
    </w:p>
    <w:p w14:paraId="070DBFCF" w14:textId="77777777" w:rsidR="004752EB" w:rsidRPr="00396CDF" w:rsidRDefault="004752EB" w:rsidP="00092B64">
      <w:pPr>
        <w:rPr>
          <w:rFonts w:ascii="Times New Roman" w:hAnsi="Times New Roman" w:cs="Times New Roman"/>
        </w:rPr>
      </w:pPr>
    </w:p>
    <w:p w14:paraId="2A3C1DDB" w14:textId="77777777" w:rsidR="000B766B" w:rsidRPr="00396CDF" w:rsidRDefault="000B766B" w:rsidP="00092B64">
      <w:pPr>
        <w:rPr>
          <w:rFonts w:ascii="Times New Roman" w:hAnsi="Times New Roman" w:cs="Times New Roman"/>
        </w:rPr>
      </w:pPr>
      <w:r w:rsidRPr="00396CDF">
        <w:rPr>
          <w:rFonts w:ascii="Times New Roman" w:hAnsi="Times New Roman" w:cs="Times New Roman"/>
        </w:rPr>
        <w:t>Table 1</w:t>
      </w:r>
    </w:p>
    <w:p w14:paraId="358409D8" w14:textId="5F52337F" w:rsidR="004752EB" w:rsidRPr="00396CDF" w:rsidRDefault="004752EB" w:rsidP="00092B64">
      <w:pPr>
        <w:rPr>
          <w:rFonts w:ascii="Times New Roman" w:hAnsi="Times New Roman" w:cs="Times New Roman"/>
        </w:rPr>
      </w:pPr>
      <w:r w:rsidRPr="00396CDF">
        <w:rPr>
          <w:rFonts w:ascii="Times New Roman" w:hAnsi="Times New Roman" w:cs="Times New Roman"/>
        </w:rPr>
        <w:t>Institutions in the Sample and Institutional Characteristics</w:t>
      </w:r>
    </w:p>
    <w:tbl>
      <w:tblPr>
        <w:tblStyle w:val="TableGrid"/>
        <w:tblW w:w="0" w:type="auto"/>
        <w:tblLook w:val="04A0" w:firstRow="1" w:lastRow="0" w:firstColumn="1" w:lastColumn="0" w:noHBand="0" w:noVBand="1"/>
      </w:tblPr>
      <w:tblGrid>
        <w:gridCol w:w="1944"/>
        <w:gridCol w:w="813"/>
        <w:gridCol w:w="953"/>
        <w:gridCol w:w="2452"/>
        <w:gridCol w:w="1416"/>
        <w:gridCol w:w="1278"/>
      </w:tblGrid>
      <w:tr w:rsidR="00F61EED" w:rsidRPr="00396CDF" w14:paraId="7101E29A" w14:textId="19076E17" w:rsidTr="00F61EED">
        <w:tc>
          <w:tcPr>
            <w:tcW w:w="1944" w:type="dxa"/>
          </w:tcPr>
          <w:p w14:paraId="194A60DF" w14:textId="5FA47195" w:rsidR="00F61EED" w:rsidRPr="00396CDF" w:rsidRDefault="00F61EED" w:rsidP="00092B64">
            <w:pPr>
              <w:rPr>
                <w:rFonts w:ascii="Times New Roman" w:hAnsi="Times New Roman" w:cs="Times New Roman"/>
                <w:b/>
                <w:sz w:val="20"/>
                <w:szCs w:val="20"/>
              </w:rPr>
            </w:pPr>
            <w:r w:rsidRPr="00396CDF">
              <w:rPr>
                <w:rFonts w:ascii="Times New Roman" w:hAnsi="Times New Roman" w:cs="Times New Roman"/>
                <w:b/>
                <w:sz w:val="20"/>
                <w:szCs w:val="20"/>
              </w:rPr>
              <w:t>Institution</w:t>
            </w:r>
          </w:p>
        </w:tc>
        <w:tc>
          <w:tcPr>
            <w:tcW w:w="813" w:type="dxa"/>
          </w:tcPr>
          <w:p w14:paraId="3520D1F9" w14:textId="48DAD984" w:rsidR="00F61EED" w:rsidRPr="00396CDF" w:rsidRDefault="00F61EED" w:rsidP="00092B64">
            <w:pPr>
              <w:rPr>
                <w:rFonts w:ascii="Times New Roman" w:hAnsi="Times New Roman" w:cs="Times New Roman"/>
                <w:b/>
                <w:sz w:val="20"/>
                <w:szCs w:val="20"/>
              </w:rPr>
            </w:pPr>
            <w:r w:rsidRPr="00396CDF">
              <w:rPr>
                <w:rFonts w:ascii="Times New Roman" w:hAnsi="Times New Roman" w:cs="Times New Roman"/>
                <w:b/>
                <w:sz w:val="20"/>
                <w:szCs w:val="20"/>
              </w:rPr>
              <w:t>State</w:t>
            </w:r>
          </w:p>
        </w:tc>
        <w:tc>
          <w:tcPr>
            <w:tcW w:w="953" w:type="dxa"/>
          </w:tcPr>
          <w:p w14:paraId="55731890" w14:textId="6389B63B" w:rsidR="00F61EED" w:rsidRPr="00396CDF" w:rsidRDefault="00F61EED" w:rsidP="00092B64">
            <w:pPr>
              <w:rPr>
                <w:rFonts w:ascii="Times New Roman" w:hAnsi="Times New Roman" w:cs="Times New Roman"/>
                <w:b/>
                <w:sz w:val="20"/>
                <w:szCs w:val="20"/>
              </w:rPr>
            </w:pPr>
            <w:r w:rsidRPr="00396CDF">
              <w:rPr>
                <w:rFonts w:ascii="Times New Roman" w:hAnsi="Times New Roman" w:cs="Times New Roman"/>
                <w:b/>
                <w:sz w:val="20"/>
                <w:szCs w:val="20"/>
              </w:rPr>
              <w:t>Control</w:t>
            </w:r>
          </w:p>
        </w:tc>
        <w:tc>
          <w:tcPr>
            <w:tcW w:w="2452" w:type="dxa"/>
          </w:tcPr>
          <w:p w14:paraId="3B822614" w14:textId="4F6D821A" w:rsidR="00F61EED" w:rsidRPr="00396CDF" w:rsidRDefault="00F61EED" w:rsidP="004752EB">
            <w:pPr>
              <w:rPr>
                <w:rFonts w:ascii="Times New Roman" w:hAnsi="Times New Roman" w:cs="Times New Roman"/>
                <w:b/>
                <w:sz w:val="20"/>
                <w:szCs w:val="20"/>
              </w:rPr>
            </w:pPr>
            <w:r w:rsidRPr="00396CDF">
              <w:rPr>
                <w:rFonts w:ascii="Times New Roman" w:hAnsi="Times New Roman" w:cs="Times New Roman"/>
                <w:b/>
                <w:sz w:val="20"/>
                <w:szCs w:val="20"/>
              </w:rPr>
              <w:t>Basic Carnegie Classification</w:t>
            </w:r>
          </w:p>
        </w:tc>
        <w:tc>
          <w:tcPr>
            <w:tcW w:w="1416" w:type="dxa"/>
          </w:tcPr>
          <w:p w14:paraId="0AFB97F9" w14:textId="3724FE61" w:rsidR="00F61EED" w:rsidRPr="00396CDF" w:rsidRDefault="00F61EED" w:rsidP="00092B64">
            <w:pPr>
              <w:rPr>
                <w:rFonts w:ascii="Times New Roman" w:hAnsi="Times New Roman" w:cs="Times New Roman"/>
                <w:b/>
                <w:sz w:val="20"/>
                <w:szCs w:val="20"/>
              </w:rPr>
            </w:pPr>
            <w:r w:rsidRPr="00396CDF">
              <w:rPr>
                <w:rFonts w:ascii="Times New Roman" w:hAnsi="Times New Roman" w:cs="Times New Roman"/>
                <w:b/>
                <w:sz w:val="20"/>
                <w:szCs w:val="20"/>
              </w:rPr>
              <w:t xml:space="preserve">Accreditation Date </w:t>
            </w:r>
          </w:p>
        </w:tc>
        <w:tc>
          <w:tcPr>
            <w:tcW w:w="1278" w:type="dxa"/>
          </w:tcPr>
          <w:p w14:paraId="4D17190F" w14:textId="26AC5E75" w:rsidR="00F61EED" w:rsidRPr="00396CDF" w:rsidRDefault="00F61EED" w:rsidP="00092B64">
            <w:pPr>
              <w:rPr>
                <w:rFonts w:ascii="Times New Roman" w:hAnsi="Times New Roman" w:cs="Times New Roman"/>
                <w:b/>
                <w:sz w:val="20"/>
                <w:szCs w:val="20"/>
              </w:rPr>
            </w:pPr>
            <w:commentRangeStart w:id="1"/>
            <w:r w:rsidRPr="00396CDF">
              <w:rPr>
                <w:rFonts w:ascii="Times New Roman" w:hAnsi="Times New Roman" w:cs="Times New Roman"/>
                <w:b/>
                <w:sz w:val="20"/>
                <w:szCs w:val="20"/>
              </w:rPr>
              <w:t>Number of Partner HS</w:t>
            </w:r>
            <w:commentRangeEnd w:id="1"/>
            <w:r w:rsidRPr="00396CDF">
              <w:rPr>
                <w:rStyle w:val="CommentReference"/>
                <w:rFonts w:ascii="Times New Roman" w:hAnsi="Times New Roman" w:cs="Times New Roman"/>
              </w:rPr>
              <w:commentReference w:id="1"/>
            </w:r>
          </w:p>
        </w:tc>
      </w:tr>
      <w:tr w:rsidR="00F61EED" w:rsidRPr="00396CDF" w14:paraId="5E6664C6" w14:textId="0A2930D7" w:rsidTr="00F61EED">
        <w:tc>
          <w:tcPr>
            <w:tcW w:w="1944" w:type="dxa"/>
          </w:tcPr>
          <w:p w14:paraId="705F2228" w14:textId="213FAE66"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Northwest Arkansas Community College</w:t>
            </w:r>
          </w:p>
        </w:tc>
        <w:tc>
          <w:tcPr>
            <w:tcW w:w="813" w:type="dxa"/>
          </w:tcPr>
          <w:p w14:paraId="4ABEDCE6" w14:textId="0ED76AF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AR</w:t>
            </w:r>
          </w:p>
        </w:tc>
        <w:tc>
          <w:tcPr>
            <w:tcW w:w="953" w:type="dxa"/>
          </w:tcPr>
          <w:p w14:paraId="0CAE4E3F" w14:textId="4723FD72"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15FC8827" w14:textId="5303E9CD"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Assoc/Pub-R-L: Associate's--Public Rural-serving Large</w:t>
            </w:r>
          </w:p>
        </w:tc>
        <w:tc>
          <w:tcPr>
            <w:tcW w:w="1416" w:type="dxa"/>
          </w:tcPr>
          <w:p w14:paraId="13FFFBAA" w14:textId="4285AE13"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2009</w:t>
            </w:r>
          </w:p>
        </w:tc>
        <w:tc>
          <w:tcPr>
            <w:tcW w:w="1278" w:type="dxa"/>
          </w:tcPr>
          <w:p w14:paraId="69435A28" w14:textId="77777777" w:rsidR="00F61EED" w:rsidRPr="00396CDF" w:rsidRDefault="00F61EED" w:rsidP="00092B64">
            <w:pPr>
              <w:rPr>
                <w:rFonts w:ascii="Times New Roman" w:hAnsi="Times New Roman" w:cs="Times New Roman"/>
                <w:sz w:val="20"/>
                <w:szCs w:val="20"/>
              </w:rPr>
            </w:pPr>
          </w:p>
        </w:tc>
      </w:tr>
      <w:tr w:rsidR="00F61EED" w:rsidRPr="00396CDF" w14:paraId="182D33F7" w14:textId="57E69742" w:rsidTr="00F61EED">
        <w:tc>
          <w:tcPr>
            <w:tcW w:w="1944" w:type="dxa"/>
          </w:tcPr>
          <w:p w14:paraId="1934ECBA" w14:textId="6E296762"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 xml:space="preserve">University of Wisconsin – </w:t>
            </w:r>
            <w:r w:rsidRPr="00396CDF">
              <w:rPr>
                <w:rFonts w:ascii="Times New Roman" w:hAnsi="Times New Roman" w:cs="Times New Roman"/>
                <w:sz w:val="20"/>
                <w:szCs w:val="20"/>
              </w:rPr>
              <w:lastRenderedPageBreak/>
              <w:t>Oshkosh</w:t>
            </w:r>
          </w:p>
        </w:tc>
        <w:tc>
          <w:tcPr>
            <w:tcW w:w="813" w:type="dxa"/>
          </w:tcPr>
          <w:p w14:paraId="3DE0FA21" w14:textId="792EEFD9"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lastRenderedPageBreak/>
              <w:t>WI</w:t>
            </w:r>
          </w:p>
        </w:tc>
        <w:tc>
          <w:tcPr>
            <w:tcW w:w="953" w:type="dxa"/>
          </w:tcPr>
          <w:p w14:paraId="1E6A6B85" w14:textId="172D3F4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73AB9FE2" w14:textId="1291FBC2"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 xml:space="preserve">Master's L: Master's Colleges and Universities </w:t>
            </w:r>
            <w:r w:rsidRPr="00396CDF">
              <w:rPr>
                <w:rFonts w:ascii="Times New Roman" w:hAnsi="Times New Roman" w:cs="Times New Roman"/>
                <w:color w:val="000000"/>
                <w:sz w:val="20"/>
                <w:szCs w:val="20"/>
                <w:shd w:val="clear" w:color="auto" w:fill="FFFFFF"/>
              </w:rPr>
              <w:lastRenderedPageBreak/>
              <w:t>(larger programs)</w:t>
            </w:r>
          </w:p>
        </w:tc>
        <w:tc>
          <w:tcPr>
            <w:tcW w:w="1416" w:type="dxa"/>
          </w:tcPr>
          <w:p w14:paraId="1A21A7C0" w14:textId="1D73F5EE"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lastRenderedPageBreak/>
              <w:t>2009</w:t>
            </w:r>
          </w:p>
        </w:tc>
        <w:tc>
          <w:tcPr>
            <w:tcW w:w="1278" w:type="dxa"/>
          </w:tcPr>
          <w:p w14:paraId="444599F1" w14:textId="77777777" w:rsidR="00F61EED" w:rsidRPr="00396CDF" w:rsidRDefault="00F61EED" w:rsidP="00092B64">
            <w:pPr>
              <w:rPr>
                <w:rFonts w:ascii="Times New Roman" w:hAnsi="Times New Roman" w:cs="Times New Roman"/>
                <w:sz w:val="20"/>
                <w:szCs w:val="20"/>
              </w:rPr>
            </w:pPr>
          </w:p>
        </w:tc>
      </w:tr>
      <w:tr w:rsidR="00F61EED" w:rsidRPr="00396CDF" w14:paraId="230FF90E" w14:textId="3D2F79A9" w:rsidTr="00F61EED">
        <w:tc>
          <w:tcPr>
            <w:tcW w:w="1944" w:type="dxa"/>
          </w:tcPr>
          <w:p w14:paraId="192F3B96" w14:textId="0E95D5E9"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lastRenderedPageBreak/>
              <w:t>Arkansas State University – Beebe</w:t>
            </w:r>
          </w:p>
        </w:tc>
        <w:tc>
          <w:tcPr>
            <w:tcW w:w="813" w:type="dxa"/>
          </w:tcPr>
          <w:p w14:paraId="4AB92BA4" w14:textId="18B4568A"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AR</w:t>
            </w:r>
          </w:p>
        </w:tc>
        <w:tc>
          <w:tcPr>
            <w:tcW w:w="953" w:type="dxa"/>
          </w:tcPr>
          <w:p w14:paraId="440DAD74" w14:textId="7AE8A970"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5BC40B50" w14:textId="27E237C8"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Assoc/Pub2in4: Associate's--Public 2-year colleges under 4-year universities</w:t>
            </w:r>
          </w:p>
        </w:tc>
        <w:tc>
          <w:tcPr>
            <w:tcW w:w="1416" w:type="dxa"/>
          </w:tcPr>
          <w:p w14:paraId="0AF2E38B" w14:textId="04AE7BF0"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2009</w:t>
            </w:r>
          </w:p>
        </w:tc>
        <w:tc>
          <w:tcPr>
            <w:tcW w:w="1278" w:type="dxa"/>
          </w:tcPr>
          <w:p w14:paraId="615B0A54" w14:textId="77777777" w:rsidR="00F61EED" w:rsidRPr="00396CDF" w:rsidRDefault="00F61EED" w:rsidP="00092B64">
            <w:pPr>
              <w:rPr>
                <w:rFonts w:ascii="Times New Roman" w:hAnsi="Times New Roman" w:cs="Times New Roman"/>
                <w:sz w:val="20"/>
                <w:szCs w:val="20"/>
              </w:rPr>
            </w:pPr>
          </w:p>
        </w:tc>
      </w:tr>
      <w:tr w:rsidR="00F61EED" w:rsidRPr="00396CDF" w14:paraId="411937EA" w14:textId="7CA832B8" w:rsidTr="00F61EED">
        <w:tc>
          <w:tcPr>
            <w:tcW w:w="1944" w:type="dxa"/>
          </w:tcPr>
          <w:p w14:paraId="36D25259" w14:textId="253C018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Rio Salado College</w:t>
            </w:r>
          </w:p>
        </w:tc>
        <w:tc>
          <w:tcPr>
            <w:tcW w:w="813" w:type="dxa"/>
          </w:tcPr>
          <w:p w14:paraId="7CF96009" w14:textId="08BB779F"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AZ</w:t>
            </w:r>
          </w:p>
        </w:tc>
        <w:tc>
          <w:tcPr>
            <w:tcW w:w="953" w:type="dxa"/>
          </w:tcPr>
          <w:p w14:paraId="3DADE604" w14:textId="3CCC197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535DFE72" w14:textId="4B8E7F3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Assoc/Pub-U-MC: Associate's--Public Urban-serving Multicampus</w:t>
            </w:r>
          </w:p>
        </w:tc>
        <w:tc>
          <w:tcPr>
            <w:tcW w:w="1416" w:type="dxa"/>
          </w:tcPr>
          <w:p w14:paraId="57F730D5" w14:textId="34D55CD0"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2004; 2011</w:t>
            </w:r>
          </w:p>
        </w:tc>
        <w:tc>
          <w:tcPr>
            <w:tcW w:w="1278" w:type="dxa"/>
          </w:tcPr>
          <w:p w14:paraId="5BAEC6DC" w14:textId="77777777" w:rsidR="00F61EED" w:rsidRPr="00396CDF" w:rsidRDefault="00F61EED" w:rsidP="00092B64">
            <w:pPr>
              <w:rPr>
                <w:rFonts w:ascii="Times New Roman" w:hAnsi="Times New Roman" w:cs="Times New Roman"/>
                <w:sz w:val="20"/>
                <w:szCs w:val="20"/>
              </w:rPr>
            </w:pPr>
          </w:p>
        </w:tc>
      </w:tr>
      <w:tr w:rsidR="00F61EED" w:rsidRPr="00396CDF" w14:paraId="257F2C5F" w14:textId="5B0FD63D" w:rsidTr="00F61EED">
        <w:tc>
          <w:tcPr>
            <w:tcW w:w="1944" w:type="dxa"/>
          </w:tcPr>
          <w:p w14:paraId="7F82F25B" w14:textId="0A1315CC"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Indiana University</w:t>
            </w:r>
          </w:p>
        </w:tc>
        <w:tc>
          <w:tcPr>
            <w:tcW w:w="813" w:type="dxa"/>
          </w:tcPr>
          <w:p w14:paraId="6DEC950B" w14:textId="788B788D"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IN</w:t>
            </w:r>
          </w:p>
        </w:tc>
        <w:tc>
          <w:tcPr>
            <w:tcW w:w="953" w:type="dxa"/>
          </w:tcPr>
          <w:p w14:paraId="5D9891E8" w14:textId="05E644DD"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41224D12" w14:textId="0A018D04"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RU/VH: Research Universities (very high research activity)</w:t>
            </w:r>
          </w:p>
        </w:tc>
        <w:tc>
          <w:tcPr>
            <w:tcW w:w="1416" w:type="dxa"/>
          </w:tcPr>
          <w:p w14:paraId="5BF37292" w14:textId="78565AFF"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2005; 2011</w:t>
            </w:r>
          </w:p>
        </w:tc>
        <w:tc>
          <w:tcPr>
            <w:tcW w:w="1278" w:type="dxa"/>
          </w:tcPr>
          <w:p w14:paraId="099AC6B8" w14:textId="77777777" w:rsidR="00F61EED" w:rsidRPr="00396CDF" w:rsidRDefault="00F61EED" w:rsidP="00092B64">
            <w:pPr>
              <w:rPr>
                <w:rFonts w:ascii="Times New Roman" w:hAnsi="Times New Roman" w:cs="Times New Roman"/>
                <w:sz w:val="20"/>
                <w:szCs w:val="20"/>
              </w:rPr>
            </w:pPr>
          </w:p>
        </w:tc>
      </w:tr>
      <w:tr w:rsidR="00F61EED" w:rsidRPr="00396CDF" w14:paraId="6D0677F2" w14:textId="11C62B2E" w:rsidTr="00F61EED">
        <w:tc>
          <w:tcPr>
            <w:tcW w:w="1944" w:type="dxa"/>
          </w:tcPr>
          <w:p w14:paraId="1AD6107B" w14:textId="1937FBB8"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Lewis and Clark Community College</w:t>
            </w:r>
          </w:p>
        </w:tc>
        <w:tc>
          <w:tcPr>
            <w:tcW w:w="813" w:type="dxa"/>
          </w:tcPr>
          <w:p w14:paraId="3EE3EBD3" w14:textId="199CB438"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IL</w:t>
            </w:r>
          </w:p>
        </w:tc>
        <w:tc>
          <w:tcPr>
            <w:tcW w:w="953" w:type="dxa"/>
          </w:tcPr>
          <w:p w14:paraId="2142FB9A" w14:textId="281EC122"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21BB1046" w14:textId="194CF445"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color w:val="000000"/>
                <w:sz w:val="20"/>
                <w:szCs w:val="20"/>
                <w:shd w:val="clear" w:color="auto" w:fill="FFFFFF"/>
              </w:rPr>
              <w:t>Assoc/Pub-S-SC: Associate's--Public Suburban-serving Single Campus</w:t>
            </w:r>
          </w:p>
        </w:tc>
        <w:tc>
          <w:tcPr>
            <w:tcW w:w="1416" w:type="dxa"/>
          </w:tcPr>
          <w:p w14:paraId="206C124B" w14:textId="23EDD4C3"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2007</w:t>
            </w:r>
          </w:p>
        </w:tc>
        <w:tc>
          <w:tcPr>
            <w:tcW w:w="1278" w:type="dxa"/>
          </w:tcPr>
          <w:p w14:paraId="7A734F3C" w14:textId="77777777" w:rsidR="00F61EED" w:rsidRPr="00396CDF" w:rsidRDefault="00F61EED" w:rsidP="00092B64">
            <w:pPr>
              <w:rPr>
                <w:rFonts w:ascii="Times New Roman" w:hAnsi="Times New Roman" w:cs="Times New Roman"/>
                <w:sz w:val="20"/>
                <w:szCs w:val="20"/>
              </w:rPr>
            </w:pPr>
          </w:p>
        </w:tc>
      </w:tr>
      <w:tr w:rsidR="00F61EED" w:rsidRPr="00396CDF" w14:paraId="13A5C365" w14:textId="34B3B499" w:rsidTr="00F61EED">
        <w:tc>
          <w:tcPr>
            <w:tcW w:w="7578" w:type="dxa"/>
            <w:gridSpan w:val="5"/>
          </w:tcPr>
          <w:p w14:paraId="2F7AC35E" w14:textId="44CFB75A" w:rsidR="00F61EED" w:rsidRPr="00396CDF" w:rsidRDefault="00F61EED" w:rsidP="007B1FA0">
            <w:pPr>
              <w:jc w:val="center"/>
              <w:rPr>
                <w:rFonts w:ascii="Times New Roman" w:hAnsi="Times New Roman" w:cs="Times New Roman"/>
                <w:sz w:val="20"/>
                <w:szCs w:val="20"/>
              </w:rPr>
            </w:pPr>
            <w:r w:rsidRPr="00396CDF">
              <w:rPr>
                <w:rFonts w:ascii="Times New Roman" w:hAnsi="Times New Roman" w:cs="Times New Roman"/>
                <w:sz w:val="20"/>
                <w:szCs w:val="20"/>
              </w:rPr>
              <w:t>Unconfirmed Institutions</w:t>
            </w:r>
          </w:p>
        </w:tc>
        <w:tc>
          <w:tcPr>
            <w:tcW w:w="1278" w:type="dxa"/>
          </w:tcPr>
          <w:p w14:paraId="6D241889" w14:textId="77777777" w:rsidR="00F61EED" w:rsidRPr="00396CDF" w:rsidRDefault="00F61EED" w:rsidP="007B1FA0">
            <w:pPr>
              <w:jc w:val="center"/>
              <w:rPr>
                <w:rFonts w:ascii="Times New Roman" w:hAnsi="Times New Roman" w:cs="Times New Roman"/>
                <w:sz w:val="20"/>
                <w:szCs w:val="20"/>
              </w:rPr>
            </w:pPr>
          </w:p>
        </w:tc>
      </w:tr>
      <w:tr w:rsidR="00F61EED" w:rsidRPr="00396CDF" w14:paraId="033BEDB8" w14:textId="1CCE4080" w:rsidTr="00F61EED">
        <w:tc>
          <w:tcPr>
            <w:tcW w:w="1944" w:type="dxa"/>
          </w:tcPr>
          <w:p w14:paraId="3240DF69" w14:textId="0BEB7813"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Utah Valley University</w:t>
            </w:r>
          </w:p>
        </w:tc>
        <w:tc>
          <w:tcPr>
            <w:tcW w:w="813" w:type="dxa"/>
          </w:tcPr>
          <w:p w14:paraId="7DC790BD" w14:textId="636A1EE8"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UT</w:t>
            </w:r>
          </w:p>
        </w:tc>
        <w:tc>
          <w:tcPr>
            <w:tcW w:w="953" w:type="dxa"/>
          </w:tcPr>
          <w:p w14:paraId="6C089B71" w14:textId="79309859"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214036C3" w14:textId="7A15B189" w:rsidR="00F61EED" w:rsidRPr="00396CDF" w:rsidRDefault="00F61EED" w:rsidP="00092B64">
            <w:pPr>
              <w:rPr>
                <w:rFonts w:ascii="Times New Roman" w:hAnsi="Times New Roman" w:cs="Times New Roman"/>
                <w:color w:val="000000"/>
                <w:sz w:val="20"/>
                <w:szCs w:val="20"/>
                <w:shd w:val="clear" w:color="auto" w:fill="FFFFFF"/>
              </w:rPr>
            </w:pPr>
            <w:r w:rsidRPr="00396CDF">
              <w:rPr>
                <w:rFonts w:ascii="Times New Roman" w:hAnsi="Times New Roman" w:cs="Times New Roman"/>
                <w:color w:val="000000"/>
                <w:sz w:val="20"/>
                <w:szCs w:val="20"/>
                <w:shd w:val="clear" w:color="auto" w:fill="FFFFFF"/>
              </w:rPr>
              <w:t>Bac/Diverse: Baccalaureate Colleges--Diverse Fields</w:t>
            </w:r>
          </w:p>
        </w:tc>
        <w:tc>
          <w:tcPr>
            <w:tcW w:w="1416" w:type="dxa"/>
          </w:tcPr>
          <w:p w14:paraId="3781A24B" w14:textId="58518804"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2005; 2012</w:t>
            </w:r>
          </w:p>
        </w:tc>
        <w:tc>
          <w:tcPr>
            <w:tcW w:w="1278" w:type="dxa"/>
          </w:tcPr>
          <w:p w14:paraId="2F8D2460" w14:textId="77777777" w:rsidR="00F61EED" w:rsidRPr="00396CDF" w:rsidRDefault="00F61EED" w:rsidP="00092B64">
            <w:pPr>
              <w:rPr>
                <w:rFonts w:ascii="Times New Roman" w:hAnsi="Times New Roman" w:cs="Times New Roman"/>
                <w:sz w:val="20"/>
                <w:szCs w:val="20"/>
              </w:rPr>
            </w:pPr>
          </w:p>
        </w:tc>
      </w:tr>
      <w:tr w:rsidR="00F61EED" w:rsidRPr="00396CDF" w14:paraId="63A2340D" w14:textId="54B9415A" w:rsidTr="00F61EED">
        <w:tc>
          <w:tcPr>
            <w:tcW w:w="1944" w:type="dxa"/>
          </w:tcPr>
          <w:p w14:paraId="64D013A6" w14:textId="43F3859C"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University of Findlay</w:t>
            </w:r>
          </w:p>
        </w:tc>
        <w:tc>
          <w:tcPr>
            <w:tcW w:w="813" w:type="dxa"/>
          </w:tcPr>
          <w:p w14:paraId="1D8EBB5F" w14:textId="705986DD"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OH</w:t>
            </w:r>
          </w:p>
        </w:tc>
        <w:tc>
          <w:tcPr>
            <w:tcW w:w="953" w:type="dxa"/>
          </w:tcPr>
          <w:p w14:paraId="07B6ECDA" w14:textId="3597BA48"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Private</w:t>
            </w:r>
          </w:p>
        </w:tc>
        <w:tc>
          <w:tcPr>
            <w:tcW w:w="2452" w:type="dxa"/>
          </w:tcPr>
          <w:p w14:paraId="0FA929A9" w14:textId="515875E8" w:rsidR="00F61EED" w:rsidRPr="00396CDF" w:rsidRDefault="00F61EED" w:rsidP="00092B64">
            <w:pPr>
              <w:rPr>
                <w:rFonts w:ascii="Times New Roman" w:hAnsi="Times New Roman" w:cs="Times New Roman"/>
                <w:color w:val="000000"/>
                <w:sz w:val="20"/>
                <w:szCs w:val="20"/>
                <w:shd w:val="clear" w:color="auto" w:fill="FFFFFF"/>
              </w:rPr>
            </w:pPr>
            <w:r w:rsidRPr="00396CDF">
              <w:rPr>
                <w:rFonts w:ascii="Times New Roman" w:hAnsi="Times New Roman" w:cs="Times New Roman"/>
                <w:color w:val="000000"/>
                <w:sz w:val="20"/>
                <w:szCs w:val="20"/>
                <w:shd w:val="clear" w:color="auto" w:fill="FFFFFF"/>
              </w:rPr>
              <w:t>Master's L: Master's Colleges and Universities (larger programs)</w:t>
            </w:r>
          </w:p>
        </w:tc>
        <w:tc>
          <w:tcPr>
            <w:tcW w:w="1416" w:type="dxa"/>
          </w:tcPr>
          <w:p w14:paraId="67AFF04A" w14:textId="18D22883"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2011</w:t>
            </w:r>
          </w:p>
        </w:tc>
        <w:tc>
          <w:tcPr>
            <w:tcW w:w="1278" w:type="dxa"/>
          </w:tcPr>
          <w:p w14:paraId="620D08AA" w14:textId="77777777" w:rsidR="00F61EED" w:rsidRPr="00396CDF" w:rsidRDefault="00F61EED" w:rsidP="00092B64">
            <w:pPr>
              <w:rPr>
                <w:rFonts w:ascii="Times New Roman" w:hAnsi="Times New Roman" w:cs="Times New Roman"/>
                <w:sz w:val="20"/>
                <w:szCs w:val="20"/>
              </w:rPr>
            </w:pPr>
          </w:p>
        </w:tc>
      </w:tr>
      <w:tr w:rsidR="00F61EED" w:rsidRPr="00396CDF" w14:paraId="0778CC11" w14:textId="29123BF9" w:rsidTr="00F61EED">
        <w:tc>
          <w:tcPr>
            <w:tcW w:w="1944" w:type="dxa"/>
          </w:tcPr>
          <w:p w14:paraId="3183773A" w14:textId="52BCBEBF"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University of Minnesota – Twin Cities</w:t>
            </w:r>
          </w:p>
        </w:tc>
        <w:tc>
          <w:tcPr>
            <w:tcW w:w="813" w:type="dxa"/>
          </w:tcPr>
          <w:p w14:paraId="1B81A817" w14:textId="2DEE9076"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MN</w:t>
            </w:r>
          </w:p>
        </w:tc>
        <w:tc>
          <w:tcPr>
            <w:tcW w:w="953" w:type="dxa"/>
          </w:tcPr>
          <w:p w14:paraId="581A40C9" w14:textId="3428C800" w:rsidR="00F61EED" w:rsidRPr="00396CDF" w:rsidRDefault="00F61EED" w:rsidP="00092B64">
            <w:pPr>
              <w:rPr>
                <w:rFonts w:ascii="Times New Roman" w:hAnsi="Times New Roman" w:cs="Times New Roman"/>
                <w:sz w:val="20"/>
                <w:szCs w:val="20"/>
              </w:rPr>
            </w:pPr>
            <w:r w:rsidRPr="00396CDF">
              <w:rPr>
                <w:rFonts w:ascii="Times New Roman" w:hAnsi="Times New Roman" w:cs="Times New Roman"/>
                <w:sz w:val="20"/>
                <w:szCs w:val="20"/>
              </w:rPr>
              <w:t>Public</w:t>
            </w:r>
          </w:p>
        </w:tc>
        <w:tc>
          <w:tcPr>
            <w:tcW w:w="2452" w:type="dxa"/>
          </w:tcPr>
          <w:p w14:paraId="02345556" w14:textId="31022D67" w:rsidR="00F61EED" w:rsidRPr="00396CDF" w:rsidRDefault="00F61EED" w:rsidP="00092B64">
            <w:pPr>
              <w:rPr>
                <w:rFonts w:ascii="Times New Roman" w:hAnsi="Times New Roman" w:cs="Times New Roman"/>
                <w:color w:val="000000"/>
                <w:sz w:val="20"/>
                <w:szCs w:val="20"/>
                <w:shd w:val="clear" w:color="auto" w:fill="FFFFFF"/>
              </w:rPr>
            </w:pPr>
            <w:r w:rsidRPr="00396CDF">
              <w:rPr>
                <w:rFonts w:ascii="Times New Roman" w:hAnsi="Times New Roman" w:cs="Times New Roman"/>
                <w:color w:val="000000"/>
                <w:sz w:val="20"/>
                <w:szCs w:val="20"/>
                <w:shd w:val="clear" w:color="auto" w:fill="FFFFFF"/>
              </w:rPr>
              <w:t>RU/VH: Research Universities (very high research activity)</w:t>
            </w:r>
          </w:p>
        </w:tc>
        <w:tc>
          <w:tcPr>
            <w:tcW w:w="1416" w:type="dxa"/>
          </w:tcPr>
          <w:p w14:paraId="2CBA7074" w14:textId="3B949957" w:rsidR="00F61EED" w:rsidRPr="00396CDF" w:rsidRDefault="00F61EED" w:rsidP="007B1FA0">
            <w:pPr>
              <w:jc w:val="center"/>
              <w:rPr>
                <w:rFonts w:ascii="Times New Roman" w:hAnsi="Times New Roman" w:cs="Times New Roman"/>
                <w:sz w:val="20"/>
                <w:szCs w:val="20"/>
              </w:rPr>
            </w:pPr>
            <w:r w:rsidRPr="00396CDF">
              <w:rPr>
                <w:rFonts w:ascii="Times New Roman" w:hAnsi="Times New Roman" w:cs="Times New Roman"/>
                <w:sz w:val="20"/>
                <w:szCs w:val="20"/>
              </w:rPr>
              <w:t>2005; 2012</w:t>
            </w:r>
          </w:p>
        </w:tc>
        <w:tc>
          <w:tcPr>
            <w:tcW w:w="1278" w:type="dxa"/>
          </w:tcPr>
          <w:p w14:paraId="3B938D9C" w14:textId="77777777" w:rsidR="00F61EED" w:rsidRPr="00396CDF" w:rsidRDefault="00F61EED" w:rsidP="007B1FA0">
            <w:pPr>
              <w:jc w:val="center"/>
              <w:rPr>
                <w:rFonts w:ascii="Times New Roman" w:hAnsi="Times New Roman" w:cs="Times New Roman"/>
                <w:sz w:val="20"/>
                <w:szCs w:val="20"/>
              </w:rPr>
            </w:pPr>
          </w:p>
        </w:tc>
      </w:tr>
    </w:tbl>
    <w:p w14:paraId="5A806C81" w14:textId="77777777" w:rsidR="004752EB" w:rsidRPr="00396CDF" w:rsidRDefault="004752EB" w:rsidP="00092B64">
      <w:pPr>
        <w:rPr>
          <w:rFonts w:ascii="Times New Roman" w:hAnsi="Times New Roman" w:cs="Times New Roman"/>
        </w:rPr>
      </w:pPr>
    </w:p>
    <w:p w14:paraId="72858D08" w14:textId="77777777" w:rsidR="0069290C" w:rsidRPr="00396CDF" w:rsidRDefault="0069290C" w:rsidP="00092B64">
      <w:pPr>
        <w:rPr>
          <w:rFonts w:ascii="Times New Roman" w:hAnsi="Times New Roman" w:cs="Times New Roman"/>
        </w:rPr>
      </w:pPr>
    </w:p>
    <w:p w14:paraId="237436D1" w14:textId="35442E3C" w:rsidR="0044614E" w:rsidRPr="00396CDF" w:rsidRDefault="0069290C" w:rsidP="00092B64">
      <w:pPr>
        <w:rPr>
          <w:rFonts w:ascii="Times New Roman" w:hAnsi="Times New Roman" w:cs="Times New Roman"/>
        </w:rPr>
      </w:pPr>
      <w:proofErr w:type="gramStart"/>
      <w:r w:rsidRPr="00396CDF">
        <w:rPr>
          <w:rFonts w:ascii="Times New Roman" w:hAnsi="Times New Roman" w:cs="Times New Roman"/>
          <w:b/>
        </w:rPr>
        <w:t>Treatment and Control Groups.</w:t>
      </w:r>
      <w:proofErr w:type="gramEnd"/>
      <w:r w:rsidRPr="00396CDF">
        <w:rPr>
          <w:rFonts w:ascii="Times New Roman" w:hAnsi="Times New Roman" w:cs="Times New Roman"/>
        </w:rPr>
        <w:t xml:space="preserve"> </w:t>
      </w:r>
      <w:r w:rsidR="0044614E" w:rsidRPr="00396CDF">
        <w:rPr>
          <w:rFonts w:ascii="Times New Roman" w:hAnsi="Times New Roman" w:cs="Times New Roman"/>
        </w:rPr>
        <w:t xml:space="preserve">A sample that includes the full </w:t>
      </w:r>
      <w:r w:rsidR="003C33C1" w:rsidRPr="00396CDF">
        <w:rPr>
          <w:rFonts w:ascii="Times New Roman" w:hAnsi="Times New Roman" w:cs="Times New Roman"/>
        </w:rPr>
        <w:t xml:space="preserve">population of high school students who graduated in spring 2010 allows for students to be categorized in </w:t>
      </w:r>
      <w:r w:rsidR="004F44CE" w:rsidRPr="00396CDF">
        <w:rPr>
          <w:rFonts w:ascii="Times New Roman" w:hAnsi="Times New Roman" w:cs="Times New Roman"/>
        </w:rPr>
        <w:t xml:space="preserve">either </w:t>
      </w:r>
      <w:r w:rsidR="003C33C1" w:rsidRPr="00396CDF">
        <w:rPr>
          <w:rFonts w:ascii="Times New Roman" w:hAnsi="Times New Roman" w:cs="Times New Roman"/>
        </w:rPr>
        <w:t>the treatment or control groups. The treatment group will include all students who participated in concurrent enrollment with their partner college during their junior or senior year of high school. The control group will include all students who did not participate in concurrent enrollment in high school</w:t>
      </w:r>
      <w:r w:rsidR="002D48BA" w:rsidRPr="00396CDF">
        <w:rPr>
          <w:rFonts w:ascii="Times New Roman" w:hAnsi="Times New Roman" w:cs="Times New Roman"/>
        </w:rPr>
        <w:t xml:space="preserve"> during their junior or senior year</w:t>
      </w:r>
      <w:r w:rsidR="003C33C1" w:rsidRPr="00396CDF">
        <w:rPr>
          <w:rFonts w:ascii="Times New Roman" w:hAnsi="Times New Roman" w:cs="Times New Roman"/>
        </w:rPr>
        <w:t>.</w:t>
      </w:r>
      <w:r w:rsidR="00FE7C27" w:rsidRPr="00396CDF">
        <w:rPr>
          <w:rFonts w:ascii="Times New Roman" w:hAnsi="Times New Roman" w:cs="Times New Roman"/>
        </w:rPr>
        <w:t xml:space="preserve"> </w:t>
      </w:r>
    </w:p>
    <w:p w14:paraId="2EBFACB1" w14:textId="77777777" w:rsidR="00223919" w:rsidRPr="00396CDF" w:rsidRDefault="00223919" w:rsidP="00092B64">
      <w:pPr>
        <w:rPr>
          <w:rFonts w:ascii="Times New Roman" w:hAnsi="Times New Roman" w:cs="Times New Roman"/>
        </w:rPr>
      </w:pPr>
    </w:p>
    <w:p w14:paraId="578DCB9E" w14:textId="5CC34158" w:rsidR="00223919" w:rsidRPr="00396CDF" w:rsidRDefault="00223919" w:rsidP="00092B64">
      <w:pPr>
        <w:rPr>
          <w:rFonts w:ascii="Times New Roman" w:hAnsi="Times New Roman" w:cs="Times New Roman"/>
        </w:rPr>
      </w:pPr>
      <w:r w:rsidRPr="00396CDF">
        <w:rPr>
          <w:rFonts w:ascii="Times New Roman" w:hAnsi="Times New Roman" w:cs="Times New Roman"/>
        </w:rPr>
        <w:t xml:space="preserve">Central to the study design </w:t>
      </w:r>
      <w:r w:rsidR="008B1414" w:rsidRPr="00396CDF">
        <w:rPr>
          <w:rFonts w:ascii="Times New Roman" w:hAnsi="Times New Roman" w:cs="Times New Roman"/>
        </w:rPr>
        <w:t xml:space="preserve">and internal validity is that participation in the treatment </w:t>
      </w:r>
      <w:r w:rsidRPr="00396CDF">
        <w:rPr>
          <w:rFonts w:ascii="Times New Roman" w:hAnsi="Times New Roman" w:cs="Times New Roman"/>
        </w:rPr>
        <w:t>is defined as NACEP-accredited concurrent enrollment</w:t>
      </w:r>
      <w:r w:rsidR="008B1414" w:rsidRPr="00396CDF">
        <w:rPr>
          <w:rFonts w:ascii="Times New Roman" w:hAnsi="Times New Roman" w:cs="Times New Roman"/>
        </w:rPr>
        <w:t xml:space="preserve"> participation</w:t>
      </w:r>
      <w:r w:rsidR="00706377" w:rsidRPr="00396CDF">
        <w:rPr>
          <w:rFonts w:ascii="Times New Roman" w:hAnsi="Times New Roman" w:cs="Times New Roman"/>
        </w:rPr>
        <w:t>, or what NACEP refers to as ‘quality’ concurrent enrollment</w:t>
      </w:r>
      <w:r w:rsidRPr="00396CDF">
        <w:rPr>
          <w:rFonts w:ascii="Times New Roman" w:hAnsi="Times New Roman" w:cs="Times New Roman"/>
        </w:rPr>
        <w:t xml:space="preserve">. </w:t>
      </w:r>
      <w:r w:rsidR="002D48BA" w:rsidRPr="00396CDF">
        <w:rPr>
          <w:rFonts w:ascii="Times New Roman" w:hAnsi="Times New Roman" w:cs="Times New Roman"/>
        </w:rPr>
        <w:t xml:space="preserve">Students who only participate </w:t>
      </w:r>
      <w:r w:rsidR="00706377" w:rsidRPr="00396CDF">
        <w:rPr>
          <w:rFonts w:ascii="Times New Roman" w:hAnsi="Times New Roman" w:cs="Times New Roman"/>
        </w:rPr>
        <w:t xml:space="preserve">non-NACEP accredited </w:t>
      </w:r>
      <w:r w:rsidR="002D48BA" w:rsidRPr="00396CDF">
        <w:rPr>
          <w:rFonts w:ascii="Times New Roman" w:hAnsi="Times New Roman" w:cs="Times New Roman"/>
        </w:rPr>
        <w:t xml:space="preserve">concurrent enrollment that, by design are not subject to the </w:t>
      </w:r>
      <w:r w:rsidR="002D48BA" w:rsidRPr="00396CDF">
        <w:rPr>
          <w:rFonts w:ascii="Times New Roman" w:hAnsi="Times New Roman" w:cs="Times New Roman"/>
          <w:i/>
        </w:rPr>
        <w:t>quality</w:t>
      </w:r>
      <w:r w:rsidR="002D48BA" w:rsidRPr="00396CDF">
        <w:rPr>
          <w:rFonts w:ascii="Times New Roman" w:hAnsi="Times New Roman" w:cs="Times New Roman"/>
        </w:rPr>
        <w:t xml:space="preserve"> concurrent enrollment conditions associated with NACEP accreditation, will be categorized in the control group. </w:t>
      </w:r>
    </w:p>
    <w:p w14:paraId="710424E0" w14:textId="77777777" w:rsidR="00935F8D" w:rsidRPr="00396CDF" w:rsidRDefault="00935F8D" w:rsidP="00092B64">
      <w:pPr>
        <w:rPr>
          <w:rFonts w:ascii="Times New Roman" w:hAnsi="Times New Roman" w:cs="Times New Roman"/>
        </w:rPr>
      </w:pPr>
    </w:p>
    <w:p w14:paraId="4D8C37D9" w14:textId="28F15A05" w:rsidR="00456928" w:rsidRPr="00396CDF" w:rsidRDefault="00935F8D" w:rsidP="00CE2AFB">
      <w:pPr>
        <w:rPr>
          <w:rFonts w:ascii="Times New Roman" w:hAnsi="Times New Roman" w:cs="Times New Roman"/>
        </w:rPr>
      </w:pPr>
      <w:r w:rsidRPr="00396CDF">
        <w:rPr>
          <w:rFonts w:ascii="Times New Roman" w:hAnsi="Times New Roman" w:cs="Times New Roman"/>
          <w:b/>
        </w:rPr>
        <w:t>Independent Variables.</w:t>
      </w:r>
      <w:r w:rsidRPr="00396CDF">
        <w:rPr>
          <w:rFonts w:ascii="Times New Roman" w:hAnsi="Times New Roman" w:cs="Times New Roman"/>
        </w:rPr>
        <w:t xml:space="preserve"> </w:t>
      </w:r>
      <w:r w:rsidR="004D214B" w:rsidRPr="00396CDF">
        <w:rPr>
          <w:rFonts w:ascii="Times New Roman" w:hAnsi="Times New Roman" w:cs="Times New Roman"/>
        </w:rPr>
        <w:t xml:space="preserve">Using </w:t>
      </w:r>
      <w:r w:rsidRPr="00396CDF">
        <w:rPr>
          <w:rFonts w:ascii="Times New Roman" w:hAnsi="Times New Roman" w:cs="Times New Roman"/>
        </w:rPr>
        <w:t xml:space="preserve">propensity score matching, the independent variables </w:t>
      </w:r>
      <w:r w:rsidR="002D58F7" w:rsidRPr="00396CDF">
        <w:rPr>
          <w:rFonts w:ascii="Times New Roman" w:hAnsi="Times New Roman" w:cs="Times New Roman"/>
        </w:rPr>
        <w:t xml:space="preserve">are </w:t>
      </w:r>
      <w:r w:rsidRPr="00396CDF">
        <w:rPr>
          <w:rFonts w:ascii="Times New Roman" w:hAnsi="Times New Roman" w:cs="Times New Roman"/>
        </w:rPr>
        <w:t xml:space="preserve">used to construct the propensity score, and </w:t>
      </w:r>
      <w:r w:rsidR="00CC2997" w:rsidRPr="00396CDF">
        <w:rPr>
          <w:rFonts w:ascii="Times New Roman" w:hAnsi="Times New Roman" w:cs="Times New Roman"/>
        </w:rPr>
        <w:t>should be pre-treatment variables so confounding variables are not included that influence outcomes after treatment participation (Rosenbaum &amp; Rubin, 1983)</w:t>
      </w:r>
      <w:r w:rsidRPr="00396CDF">
        <w:rPr>
          <w:rFonts w:ascii="Times New Roman" w:hAnsi="Times New Roman" w:cs="Times New Roman"/>
        </w:rPr>
        <w:t xml:space="preserve">. The assumption is that if pre-treatment variables adequately reflect treatment assignment then </w:t>
      </w:r>
      <w:r w:rsidR="004D214B" w:rsidRPr="00396CDF">
        <w:rPr>
          <w:rFonts w:ascii="Times New Roman" w:hAnsi="Times New Roman" w:cs="Times New Roman"/>
        </w:rPr>
        <w:t xml:space="preserve">any differences in </w:t>
      </w:r>
      <w:r w:rsidRPr="00396CDF">
        <w:rPr>
          <w:rFonts w:ascii="Times New Roman" w:hAnsi="Times New Roman" w:cs="Times New Roman"/>
        </w:rPr>
        <w:t>post-treatment variables</w:t>
      </w:r>
      <w:r w:rsidR="004D214B" w:rsidRPr="00396CDF">
        <w:rPr>
          <w:rFonts w:ascii="Times New Roman" w:hAnsi="Times New Roman" w:cs="Times New Roman"/>
        </w:rPr>
        <w:t xml:space="preserve"> between the treatment and control groups are not a result of treatment assignment</w:t>
      </w:r>
      <w:r w:rsidRPr="00396CDF">
        <w:rPr>
          <w:rFonts w:ascii="Times New Roman" w:hAnsi="Times New Roman" w:cs="Times New Roman"/>
        </w:rPr>
        <w:t xml:space="preserve">. </w:t>
      </w:r>
      <w:r w:rsidR="004D214B" w:rsidRPr="00396CDF">
        <w:rPr>
          <w:rFonts w:ascii="Times New Roman" w:hAnsi="Times New Roman" w:cs="Times New Roman"/>
        </w:rPr>
        <w:t xml:space="preserve">Thus, only pre-treatment variables will be used in the construction of the propensity score. </w:t>
      </w:r>
      <w:r w:rsidRPr="00396CDF">
        <w:rPr>
          <w:rFonts w:ascii="Times New Roman" w:hAnsi="Times New Roman" w:cs="Times New Roman"/>
        </w:rPr>
        <w:t xml:space="preserve">The </w:t>
      </w:r>
      <w:r w:rsidR="0076226A" w:rsidRPr="00396CDF">
        <w:rPr>
          <w:rFonts w:ascii="Times New Roman" w:hAnsi="Times New Roman" w:cs="Times New Roman"/>
        </w:rPr>
        <w:t xml:space="preserve">two </w:t>
      </w:r>
      <w:r w:rsidRPr="00396CDF">
        <w:rPr>
          <w:rFonts w:ascii="Times New Roman" w:hAnsi="Times New Roman" w:cs="Times New Roman"/>
        </w:rPr>
        <w:t>categori</w:t>
      </w:r>
      <w:r w:rsidR="004D214B" w:rsidRPr="00396CDF">
        <w:rPr>
          <w:rFonts w:ascii="Times New Roman" w:hAnsi="Times New Roman" w:cs="Times New Roman"/>
        </w:rPr>
        <w:t>es of independent variables are: a) academic ability and preparation</w:t>
      </w:r>
      <w:r w:rsidR="00770186" w:rsidRPr="00396CDF">
        <w:rPr>
          <w:rFonts w:ascii="Times New Roman" w:hAnsi="Times New Roman" w:cs="Times New Roman"/>
        </w:rPr>
        <w:t xml:space="preserve"> and </w:t>
      </w:r>
      <w:r w:rsidR="004D214B" w:rsidRPr="00396CDF">
        <w:rPr>
          <w:rFonts w:ascii="Times New Roman" w:hAnsi="Times New Roman" w:cs="Times New Roman"/>
        </w:rPr>
        <w:t>b) demographic</w:t>
      </w:r>
      <w:r w:rsidR="00770186" w:rsidRPr="00396CDF">
        <w:rPr>
          <w:rFonts w:ascii="Times New Roman" w:hAnsi="Times New Roman" w:cs="Times New Roman"/>
        </w:rPr>
        <w:t xml:space="preserve"> variables. </w:t>
      </w:r>
      <w:r w:rsidR="00CE2AFB" w:rsidRPr="00396CDF">
        <w:rPr>
          <w:rFonts w:ascii="Times New Roman" w:hAnsi="Times New Roman" w:cs="Times New Roman"/>
        </w:rPr>
        <w:t xml:space="preserve">Academic ability and preparation </w:t>
      </w:r>
      <w:r w:rsidR="00CE2AFB" w:rsidRPr="00396CDF">
        <w:rPr>
          <w:rFonts w:ascii="Times New Roman" w:hAnsi="Times New Roman" w:cs="Times New Roman"/>
        </w:rPr>
        <w:lastRenderedPageBreak/>
        <w:t>variables include high school GPA prior to concurrent enrollment participation</w:t>
      </w:r>
      <w:r w:rsidR="00456928" w:rsidRPr="00396CDF">
        <w:rPr>
          <w:rFonts w:ascii="Times New Roman" w:hAnsi="Times New Roman" w:cs="Times New Roman"/>
        </w:rPr>
        <w:t xml:space="preserve"> (GPA at the end of 10</w:t>
      </w:r>
      <w:r w:rsidR="00456928" w:rsidRPr="00396CDF">
        <w:rPr>
          <w:rFonts w:ascii="Times New Roman" w:hAnsi="Times New Roman" w:cs="Times New Roman"/>
          <w:vertAlign w:val="superscript"/>
        </w:rPr>
        <w:t>th</w:t>
      </w:r>
      <w:r w:rsidR="00456928" w:rsidRPr="00396CDF">
        <w:rPr>
          <w:rFonts w:ascii="Times New Roman" w:hAnsi="Times New Roman" w:cs="Times New Roman"/>
        </w:rPr>
        <w:t xml:space="preserve"> grade)</w:t>
      </w:r>
      <w:r w:rsidR="00CE2AFB" w:rsidRPr="00396CDF">
        <w:rPr>
          <w:rFonts w:ascii="Times New Roman" w:hAnsi="Times New Roman" w:cs="Times New Roman"/>
        </w:rPr>
        <w:t xml:space="preserve">, and ACT/SAT score. </w:t>
      </w:r>
      <w:r w:rsidR="00456928" w:rsidRPr="00396CDF">
        <w:rPr>
          <w:rFonts w:ascii="Times New Roman" w:hAnsi="Times New Roman" w:cs="Times New Roman"/>
        </w:rPr>
        <w:t>Demographic variables include race/ethnicity, gender, parent’s income (or reduced lunch status), native English speaker, and students’ grade in high school when they first participated in concurrent enrollment.</w:t>
      </w:r>
    </w:p>
    <w:p w14:paraId="6070B9C8" w14:textId="3FB82E60" w:rsidR="00CE2AFB" w:rsidRPr="00396CDF" w:rsidRDefault="0076226A" w:rsidP="00CE2AFB">
      <w:pPr>
        <w:rPr>
          <w:rFonts w:ascii="Times New Roman" w:hAnsi="Times New Roman" w:cs="Times New Roman"/>
        </w:rPr>
      </w:pPr>
      <w:r w:rsidRPr="00396CDF">
        <w:rPr>
          <w:rFonts w:ascii="Times New Roman" w:hAnsi="Times New Roman" w:cs="Times New Roman"/>
        </w:rPr>
        <w:t>In addition</w:t>
      </w:r>
      <w:r w:rsidR="00456928" w:rsidRPr="00396CDF">
        <w:rPr>
          <w:rFonts w:ascii="Times New Roman" w:hAnsi="Times New Roman" w:cs="Times New Roman"/>
        </w:rPr>
        <w:t xml:space="preserve"> to these academic and demographic variables</w:t>
      </w:r>
      <w:r w:rsidRPr="00396CDF">
        <w:rPr>
          <w:rFonts w:ascii="Times New Roman" w:hAnsi="Times New Roman" w:cs="Times New Roman"/>
        </w:rPr>
        <w:t xml:space="preserve">, </w:t>
      </w:r>
      <w:r w:rsidR="00456928" w:rsidRPr="00396CDF">
        <w:rPr>
          <w:rFonts w:ascii="Times New Roman" w:hAnsi="Times New Roman" w:cs="Times New Roman"/>
        </w:rPr>
        <w:t>several control variables will be collected and used in the final model that include indicators for student participation in other forms of concurrent enrollment</w:t>
      </w:r>
      <w:r w:rsidR="00172756" w:rsidRPr="00396CDF">
        <w:rPr>
          <w:rFonts w:ascii="Times New Roman" w:hAnsi="Times New Roman" w:cs="Times New Roman"/>
        </w:rPr>
        <w:t>, type and intensity of concurrent enrollment participation,</w:t>
      </w:r>
      <w:r w:rsidR="00456928" w:rsidRPr="00396CDF">
        <w:rPr>
          <w:rFonts w:ascii="Times New Roman" w:hAnsi="Times New Roman" w:cs="Times New Roman"/>
        </w:rPr>
        <w:t xml:space="preserve"> as well as participation in Advanced Placement courses.</w:t>
      </w:r>
      <w:r w:rsidR="001B49CB" w:rsidRPr="00396CDF">
        <w:rPr>
          <w:rFonts w:ascii="Times New Roman" w:hAnsi="Times New Roman" w:cs="Times New Roman"/>
        </w:rPr>
        <w:t xml:space="preserve"> </w:t>
      </w:r>
      <w:proofErr w:type="gramStart"/>
      <w:r w:rsidR="001B49CB" w:rsidRPr="00396CDF">
        <w:rPr>
          <w:rFonts w:ascii="Times New Roman" w:hAnsi="Times New Roman" w:cs="Times New Roman"/>
        </w:rPr>
        <w:t xml:space="preserve">A list of the primary </w:t>
      </w:r>
      <w:r w:rsidR="00456928" w:rsidRPr="00396CDF">
        <w:rPr>
          <w:rFonts w:ascii="Times New Roman" w:hAnsi="Times New Roman" w:cs="Times New Roman"/>
        </w:rPr>
        <w:t>independent variables are</w:t>
      </w:r>
      <w:proofErr w:type="gramEnd"/>
      <w:r w:rsidR="00456928" w:rsidRPr="00396CDF">
        <w:rPr>
          <w:rFonts w:ascii="Times New Roman" w:hAnsi="Times New Roman" w:cs="Times New Roman"/>
        </w:rPr>
        <w:t xml:space="preserve"> </w:t>
      </w:r>
      <w:r w:rsidR="001B49CB" w:rsidRPr="00396CDF">
        <w:rPr>
          <w:rFonts w:ascii="Times New Roman" w:hAnsi="Times New Roman" w:cs="Times New Roman"/>
        </w:rPr>
        <w:t xml:space="preserve">provided </w:t>
      </w:r>
      <w:r w:rsidR="00456928" w:rsidRPr="00396CDF">
        <w:rPr>
          <w:rFonts w:ascii="Times New Roman" w:hAnsi="Times New Roman" w:cs="Times New Roman"/>
        </w:rPr>
        <w:t xml:space="preserve">in </w:t>
      </w:r>
      <w:r w:rsidR="00961846" w:rsidRPr="00396CDF">
        <w:rPr>
          <w:rFonts w:ascii="Times New Roman" w:hAnsi="Times New Roman" w:cs="Times New Roman"/>
        </w:rPr>
        <w:t>Table 2</w:t>
      </w:r>
      <w:r w:rsidR="00456928" w:rsidRPr="00396CDF">
        <w:rPr>
          <w:rFonts w:ascii="Times New Roman" w:hAnsi="Times New Roman" w:cs="Times New Roman"/>
        </w:rPr>
        <w:t xml:space="preserve">. </w:t>
      </w:r>
    </w:p>
    <w:p w14:paraId="37138E9D" w14:textId="77777777" w:rsidR="00CE2AFB" w:rsidRPr="00396CDF" w:rsidRDefault="00CE2AFB" w:rsidP="00092B64">
      <w:pPr>
        <w:rPr>
          <w:rFonts w:ascii="Times New Roman" w:hAnsi="Times New Roman" w:cs="Times New Roman"/>
        </w:rPr>
      </w:pPr>
    </w:p>
    <w:p w14:paraId="04BE548F" w14:textId="77777777" w:rsidR="000B766B" w:rsidRPr="00396CDF" w:rsidRDefault="000B766B" w:rsidP="00092B64">
      <w:pPr>
        <w:rPr>
          <w:rFonts w:ascii="Times New Roman" w:hAnsi="Times New Roman" w:cs="Times New Roman"/>
        </w:rPr>
      </w:pPr>
      <w:r w:rsidRPr="00396CDF">
        <w:rPr>
          <w:rFonts w:ascii="Times New Roman" w:hAnsi="Times New Roman" w:cs="Times New Roman"/>
        </w:rPr>
        <w:t>Table 2</w:t>
      </w:r>
    </w:p>
    <w:p w14:paraId="3A6FA254" w14:textId="79614A92" w:rsidR="00961846" w:rsidRPr="00396CDF" w:rsidRDefault="00961846" w:rsidP="00092B64">
      <w:pPr>
        <w:rPr>
          <w:rFonts w:ascii="Times New Roman" w:hAnsi="Times New Roman" w:cs="Times New Roman"/>
        </w:rPr>
      </w:pPr>
      <w:r w:rsidRPr="00396CDF">
        <w:rPr>
          <w:rFonts w:ascii="Times New Roman" w:hAnsi="Times New Roman" w:cs="Times New Roman"/>
        </w:rPr>
        <w:t xml:space="preserve">Independent </w:t>
      </w:r>
      <w:r w:rsidR="00656B1E" w:rsidRPr="00396CDF">
        <w:rPr>
          <w:rFonts w:ascii="Times New Roman" w:hAnsi="Times New Roman" w:cs="Times New Roman"/>
        </w:rPr>
        <w:t xml:space="preserve">(Control) </w:t>
      </w:r>
      <w:r w:rsidRPr="00396CDF">
        <w:rPr>
          <w:rFonts w:ascii="Times New Roman" w:hAnsi="Times New Roman" w:cs="Times New Roman"/>
        </w:rPr>
        <w:t>Variables</w:t>
      </w:r>
    </w:p>
    <w:tbl>
      <w:tblPr>
        <w:tblStyle w:val="TableGrid"/>
        <w:tblW w:w="0" w:type="auto"/>
        <w:tblLook w:val="04A0" w:firstRow="1" w:lastRow="0" w:firstColumn="1" w:lastColumn="0" w:noHBand="0" w:noVBand="1"/>
      </w:tblPr>
      <w:tblGrid>
        <w:gridCol w:w="4428"/>
        <w:gridCol w:w="4428"/>
      </w:tblGrid>
      <w:tr w:rsidR="00961846" w:rsidRPr="00396CDF" w14:paraId="1763F6FE" w14:textId="77777777" w:rsidTr="00961846">
        <w:tc>
          <w:tcPr>
            <w:tcW w:w="4428" w:type="dxa"/>
          </w:tcPr>
          <w:p w14:paraId="14290DC5" w14:textId="29DF2453" w:rsidR="00961846" w:rsidRPr="00396CDF" w:rsidRDefault="00656B1E" w:rsidP="00092B64">
            <w:pPr>
              <w:rPr>
                <w:rFonts w:ascii="Times New Roman" w:hAnsi="Times New Roman" w:cs="Times New Roman"/>
                <w:b/>
              </w:rPr>
            </w:pPr>
            <w:r w:rsidRPr="00396CDF">
              <w:rPr>
                <w:rFonts w:ascii="Times New Roman" w:hAnsi="Times New Roman" w:cs="Times New Roman"/>
                <w:b/>
              </w:rPr>
              <w:t>Variable</w:t>
            </w:r>
          </w:p>
        </w:tc>
        <w:tc>
          <w:tcPr>
            <w:tcW w:w="4428" w:type="dxa"/>
          </w:tcPr>
          <w:p w14:paraId="06020AC6" w14:textId="11FEF169" w:rsidR="00961846" w:rsidRPr="00396CDF" w:rsidRDefault="00656B1E" w:rsidP="001A1EB6">
            <w:pPr>
              <w:rPr>
                <w:rFonts w:ascii="Times New Roman" w:hAnsi="Times New Roman" w:cs="Times New Roman"/>
                <w:b/>
              </w:rPr>
            </w:pPr>
            <w:r w:rsidRPr="00396CDF">
              <w:rPr>
                <w:rFonts w:ascii="Times New Roman" w:hAnsi="Times New Roman" w:cs="Times New Roman"/>
                <w:b/>
              </w:rPr>
              <w:t xml:space="preserve">Variable </w:t>
            </w:r>
            <w:r w:rsidR="001A1EB6" w:rsidRPr="00396CDF">
              <w:rPr>
                <w:rFonts w:ascii="Times New Roman" w:hAnsi="Times New Roman" w:cs="Times New Roman"/>
                <w:b/>
              </w:rPr>
              <w:t>Categories</w:t>
            </w:r>
          </w:p>
        </w:tc>
      </w:tr>
      <w:tr w:rsidR="001A1EB6" w:rsidRPr="00396CDF" w14:paraId="2A82F699" w14:textId="77777777" w:rsidTr="00BA14A9">
        <w:tc>
          <w:tcPr>
            <w:tcW w:w="8856" w:type="dxa"/>
            <w:gridSpan w:val="2"/>
          </w:tcPr>
          <w:p w14:paraId="3CBFF0BA" w14:textId="3DFDD635" w:rsidR="001A1EB6" w:rsidRPr="00396CDF" w:rsidRDefault="001A1EB6" w:rsidP="00092B64">
            <w:pPr>
              <w:rPr>
                <w:rFonts w:ascii="Times New Roman" w:hAnsi="Times New Roman" w:cs="Times New Roman"/>
              </w:rPr>
            </w:pPr>
            <w:r w:rsidRPr="00396CDF">
              <w:rPr>
                <w:rFonts w:ascii="Times New Roman" w:hAnsi="Times New Roman" w:cs="Times New Roman"/>
              </w:rPr>
              <w:t>Demographic</w:t>
            </w:r>
          </w:p>
        </w:tc>
      </w:tr>
      <w:tr w:rsidR="00961846" w:rsidRPr="00396CDF" w14:paraId="0317F66B" w14:textId="77777777" w:rsidTr="00961846">
        <w:tc>
          <w:tcPr>
            <w:tcW w:w="4428" w:type="dxa"/>
          </w:tcPr>
          <w:p w14:paraId="7D3B1C0D" w14:textId="2E3C083B" w:rsidR="00961846" w:rsidRPr="00396CDF" w:rsidRDefault="00656B1E" w:rsidP="00656B1E">
            <w:pPr>
              <w:ind w:left="360"/>
              <w:rPr>
                <w:rFonts w:ascii="Times New Roman" w:hAnsi="Times New Roman" w:cs="Times New Roman"/>
              </w:rPr>
            </w:pPr>
            <w:r w:rsidRPr="00396CDF">
              <w:rPr>
                <w:rFonts w:ascii="Times New Roman" w:hAnsi="Times New Roman" w:cs="Times New Roman"/>
              </w:rPr>
              <w:t>Gender</w:t>
            </w:r>
          </w:p>
        </w:tc>
        <w:tc>
          <w:tcPr>
            <w:tcW w:w="4428" w:type="dxa"/>
          </w:tcPr>
          <w:p w14:paraId="5FB02212" w14:textId="142A68C4" w:rsidR="00961846" w:rsidRPr="00396CDF" w:rsidRDefault="001A1EB6" w:rsidP="00092B64">
            <w:pPr>
              <w:rPr>
                <w:rFonts w:ascii="Times New Roman" w:hAnsi="Times New Roman" w:cs="Times New Roman"/>
              </w:rPr>
            </w:pPr>
            <w:r w:rsidRPr="00396CDF">
              <w:rPr>
                <w:rFonts w:ascii="Times New Roman" w:hAnsi="Times New Roman" w:cs="Times New Roman"/>
              </w:rPr>
              <w:t>Female, male, other, unknown</w:t>
            </w:r>
          </w:p>
        </w:tc>
      </w:tr>
      <w:tr w:rsidR="00961846" w:rsidRPr="00396CDF" w14:paraId="415EA5E4" w14:textId="77777777" w:rsidTr="00961846">
        <w:tc>
          <w:tcPr>
            <w:tcW w:w="4428" w:type="dxa"/>
          </w:tcPr>
          <w:p w14:paraId="49550D3C" w14:textId="50148F15" w:rsidR="00961846" w:rsidRPr="00396CDF" w:rsidRDefault="00656B1E" w:rsidP="00656B1E">
            <w:pPr>
              <w:ind w:left="360"/>
              <w:rPr>
                <w:rFonts w:ascii="Times New Roman" w:hAnsi="Times New Roman" w:cs="Times New Roman"/>
              </w:rPr>
            </w:pPr>
            <w:r w:rsidRPr="00396CDF">
              <w:rPr>
                <w:rFonts w:ascii="Times New Roman" w:hAnsi="Times New Roman" w:cs="Times New Roman"/>
              </w:rPr>
              <w:t>Race/Ethnicity</w:t>
            </w:r>
          </w:p>
        </w:tc>
        <w:tc>
          <w:tcPr>
            <w:tcW w:w="4428" w:type="dxa"/>
          </w:tcPr>
          <w:p w14:paraId="5EE990A3" w14:textId="6857D27C" w:rsidR="00961846" w:rsidRPr="00396CDF" w:rsidRDefault="001A1EB6" w:rsidP="00092B64">
            <w:pPr>
              <w:rPr>
                <w:rFonts w:ascii="Times New Roman" w:hAnsi="Times New Roman" w:cs="Times New Roman"/>
              </w:rPr>
            </w:pPr>
            <w:r w:rsidRPr="00396CDF">
              <w:rPr>
                <w:rFonts w:ascii="Times New Roman" w:hAnsi="Times New Roman" w:cs="Times New Roman"/>
              </w:rPr>
              <w:t>Nonresident alien, Hispanic/Latino of any race, American Indian or Alaska Native, Asian, Black or African American, Native Hawaiian or Other Pacific Islander, White, Two or more races, Race and ethnicity unknown</w:t>
            </w:r>
          </w:p>
        </w:tc>
      </w:tr>
      <w:tr w:rsidR="00961846" w:rsidRPr="00396CDF" w14:paraId="38992706" w14:textId="77777777" w:rsidTr="00961846">
        <w:tc>
          <w:tcPr>
            <w:tcW w:w="4428" w:type="dxa"/>
          </w:tcPr>
          <w:p w14:paraId="670EEC26" w14:textId="3FC1F5B1" w:rsidR="00961846" w:rsidRPr="00396CDF" w:rsidRDefault="00656B1E" w:rsidP="00656B1E">
            <w:pPr>
              <w:ind w:left="360"/>
              <w:rPr>
                <w:rFonts w:ascii="Times New Roman" w:hAnsi="Times New Roman" w:cs="Times New Roman"/>
              </w:rPr>
            </w:pPr>
            <w:r w:rsidRPr="00396CDF">
              <w:rPr>
                <w:rFonts w:ascii="Times New Roman" w:hAnsi="Times New Roman" w:cs="Times New Roman"/>
              </w:rPr>
              <w:t>English Language Leaner</w:t>
            </w:r>
          </w:p>
        </w:tc>
        <w:tc>
          <w:tcPr>
            <w:tcW w:w="4428" w:type="dxa"/>
          </w:tcPr>
          <w:p w14:paraId="42866338" w14:textId="0C32CE8B" w:rsidR="00961846" w:rsidRPr="00396CDF" w:rsidRDefault="001A1EB6" w:rsidP="00092B64">
            <w:pPr>
              <w:rPr>
                <w:rFonts w:ascii="Times New Roman" w:hAnsi="Times New Roman" w:cs="Times New Roman"/>
              </w:rPr>
            </w:pPr>
            <w:r w:rsidRPr="00396CDF">
              <w:rPr>
                <w:rFonts w:ascii="Times New Roman" w:hAnsi="Times New Roman" w:cs="Times New Roman"/>
              </w:rPr>
              <w:t>Yes, no, unknown</w:t>
            </w:r>
          </w:p>
        </w:tc>
      </w:tr>
      <w:tr w:rsidR="00961846" w:rsidRPr="00396CDF" w14:paraId="3D1DC732" w14:textId="77777777" w:rsidTr="00961846">
        <w:tc>
          <w:tcPr>
            <w:tcW w:w="4428" w:type="dxa"/>
          </w:tcPr>
          <w:p w14:paraId="667AD630" w14:textId="0EFB51B5" w:rsidR="00961846" w:rsidRPr="00396CDF" w:rsidRDefault="00656B1E" w:rsidP="00656B1E">
            <w:pPr>
              <w:ind w:left="360"/>
              <w:rPr>
                <w:rFonts w:ascii="Times New Roman" w:hAnsi="Times New Roman" w:cs="Times New Roman"/>
              </w:rPr>
            </w:pPr>
            <w:r w:rsidRPr="00396CDF">
              <w:rPr>
                <w:rFonts w:ascii="Times New Roman" w:hAnsi="Times New Roman" w:cs="Times New Roman"/>
              </w:rPr>
              <w:t>Free &amp; Reduced Lunch</w:t>
            </w:r>
          </w:p>
        </w:tc>
        <w:tc>
          <w:tcPr>
            <w:tcW w:w="4428" w:type="dxa"/>
          </w:tcPr>
          <w:p w14:paraId="1177D472" w14:textId="3A01D882" w:rsidR="00961846" w:rsidRPr="00396CDF" w:rsidRDefault="001A1EB6" w:rsidP="00092B64">
            <w:pPr>
              <w:rPr>
                <w:rFonts w:ascii="Times New Roman" w:hAnsi="Times New Roman" w:cs="Times New Roman"/>
              </w:rPr>
            </w:pPr>
            <w:r w:rsidRPr="00396CDF">
              <w:rPr>
                <w:rFonts w:ascii="Times New Roman" w:hAnsi="Times New Roman" w:cs="Times New Roman"/>
              </w:rPr>
              <w:t xml:space="preserve">Yes, no, unknown </w:t>
            </w:r>
          </w:p>
        </w:tc>
      </w:tr>
      <w:tr w:rsidR="001A1EB6" w:rsidRPr="00396CDF" w14:paraId="3F997C9B" w14:textId="77777777" w:rsidTr="00BA14A9">
        <w:tc>
          <w:tcPr>
            <w:tcW w:w="8856" w:type="dxa"/>
            <w:gridSpan w:val="2"/>
          </w:tcPr>
          <w:p w14:paraId="40B6CB13" w14:textId="1DEA7462" w:rsidR="001A1EB6" w:rsidRPr="00396CDF" w:rsidRDefault="001A1EB6" w:rsidP="00092B64">
            <w:pPr>
              <w:rPr>
                <w:rFonts w:ascii="Times New Roman" w:hAnsi="Times New Roman" w:cs="Times New Roman"/>
              </w:rPr>
            </w:pPr>
            <w:r w:rsidRPr="00396CDF">
              <w:rPr>
                <w:rFonts w:ascii="Times New Roman" w:hAnsi="Times New Roman" w:cs="Times New Roman"/>
              </w:rPr>
              <w:t>Academic Performance &amp; Achievement</w:t>
            </w:r>
          </w:p>
        </w:tc>
      </w:tr>
      <w:tr w:rsidR="00656B1E" w:rsidRPr="00396CDF" w14:paraId="598E8344" w14:textId="77777777" w:rsidTr="00961846">
        <w:tc>
          <w:tcPr>
            <w:tcW w:w="4428" w:type="dxa"/>
          </w:tcPr>
          <w:p w14:paraId="7ADC51DC" w14:textId="11399571" w:rsidR="00656B1E" w:rsidRPr="00396CDF" w:rsidRDefault="00656B1E" w:rsidP="00656B1E">
            <w:pPr>
              <w:ind w:left="360"/>
              <w:rPr>
                <w:rFonts w:ascii="Times New Roman" w:hAnsi="Times New Roman" w:cs="Times New Roman"/>
              </w:rPr>
            </w:pPr>
            <w:r w:rsidRPr="00396CDF">
              <w:rPr>
                <w:rFonts w:ascii="Times New Roman" w:hAnsi="Times New Roman" w:cs="Times New Roman"/>
              </w:rPr>
              <w:t>10</w:t>
            </w:r>
            <w:r w:rsidRPr="00396CDF">
              <w:rPr>
                <w:rFonts w:ascii="Times New Roman" w:hAnsi="Times New Roman" w:cs="Times New Roman"/>
                <w:vertAlign w:val="superscript"/>
              </w:rPr>
              <w:t>th</w:t>
            </w:r>
            <w:r w:rsidRPr="00396CDF">
              <w:rPr>
                <w:rFonts w:ascii="Times New Roman" w:hAnsi="Times New Roman" w:cs="Times New Roman"/>
              </w:rPr>
              <w:t xml:space="preserve"> Grade HS GPA</w:t>
            </w:r>
          </w:p>
        </w:tc>
        <w:tc>
          <w:tcPr>
            <w:tcW w:w="4428" w:type="dxa"/>
          </w:tcPr>
          <w:p w14:paraId="713D590F" w14:textId="73DBBAA1" w:rsidR="00656B1E" w:rsidRPr="00396CDF" w:rsidRDefault="001A1EB6" w:rsidP="00092B64">
            <w:pPr>
              <w:rPr>
                <w:rFonts w:ascii="Times New Roman" w:hAnsi="Times New Roman" w:cs="Times New Roman"/>
              </w:rPr>
            </w:pPr>
            <w:proofErr w:type="gramStart"/>
            <w:r w:rsidRPr="00396CDF">
              <w:rPr>
                <w:rFonts w:ascii="Times New Roman" w:hAnsi="Times New Roman" w:cs="Times New Roman"/>
              </w:rPr>
              <w:t>xx.xx</w:t>
            </w:r>
            <w:proofErr w:type="gramEnd"/>
          </w:p>
        </w:tc>
      </w:tr>
      <w:tr w:rsidR="00656B1E" w:rsidRPr="00396CDF" w14:paraId="55FC6CAF" w14:textId="77777777" w:rsidTr="00961846">
        <w:tc>
          <w:tcPr>
            <w:tcW w:w="4428" w:type="dxa"/>
          </w:tcPr>
          <w:p w14:paraId="44DB55B6" w14:textId="6926D4E8" w:rsidR="00656B1E" w:rsidRPr="00396CDF" w:rsidRDefault="00656B1E" w:rsidP="00656B1E">
            <w:pPr>
              <w:ind w:left="360"/>
              <w:rPr>
                <w:rFonts w:ascii="Times New Roman" w:hAnsi="Times New Roman" w:cs="Times New Roman"/>
              </w:rPr>
            </w:pPr>
            <w:r w:rsidRPr="00396CDF">
              <w:rPr>
                <w:rFonts w:ascii="Times New Roman" w:hAnsi="Times New Roman" w:cs="Times New Roman"/>
              </w:rPr>
              <w:t>AP Participation</w:t>
            </w:r>
          </w:p>
        </w:tc>
        <w:tc>
          <w:tcPr>
            <w:tcW w:w="4428" w:type="dxa"/>
          </w:tcPr>
          <w:p w14:paraId="2D73FEA3" w14:textId="4F93B6A9" w:rsidR="00656B1E" w:rsidRPr="00396CDF" w:rsidRDefault="001A1EB6" w:rsidP="00092B64">
            <w:pPr>
              <w:rPr>
                <w:rFonts w:ascii="Times New Roman" w:hAnsi="Times New Roman" w:cs="Times New Roman"/>
              </w:rPr>
            </w:pPr>
            <w:r w:rsidRPr="00396CDF">
              <w:rPr>
                <w:rFonts w:ascii="Times New Roman" w:hAnsi="Times New Roman" w:cs="Times New Roman"/>
              </w:rPr>
              <w:t>Yes, no, unknown</w:t>
            </w:r>
          </w:p>
        </w:tc>
      </w:tr>
      <w:tr w:rsidR="00656B1E" w:rsidRPr="00396CDF" w14:paraId="30B3EB62" w14:textId="77777777" w:rsidTr="00961846">
        <w:tc>
          <w:tcPr>
            <w:tcW w:w="4428" w:type="dxa"/>
          </w:tcPr>
          <w:p w14:paraId="2C119548" w14:textId="377E0707" w:rsidR="00656B1E" w:rsidRPr="00396CDF" w:rsidRDefault="00656B1E" w:rsidP="00656B1E">
            <w:pPr>
              <w:ind w:left="360"/>
              <w:rPr>
                <w:rFonts w:ascii="Times New Roman" w:hAnsi="Times New Roman" w:cs="Times New Roman"/>
              </w:rPr>
            </w:pPr>
            <w:r w:rsidRPr="00396CDF">
              <w:rPr>
                <w:rFonts w:ascii="Times New Roman" w:hAnsi="Times New Roman" w:cs="Times New Roman"/>
              </w:rPr>
              <w:t xml:space="preserve">SAT/ACT </w:t>
            </w:r>
            <w:r w:rsidR="0047713E" w:rsidRPr="00396CDF">
              <w:rPr>
                <w:rFonts w:ascii="Times New Roman" w:hAnsi="Times New Roman" w:cs="Times New Roman"/>
              </w:rPr>
              <w:t xml:space="preserve">Composite </w:t>
            </w:r>
            <w:r w:rsidRPr="00396CDF">
              <w:rPr>
                <w:rFonts w:ascii="Times New Roman" w:hAnsi="Times New Roman" w:cs="Times New Roman"/>
              </w:rPr>
              <w:t>Score</w:t>
            </w:r>
          </w:p>
        </w:tc>
        <w:tc>
          <w:tcPr>
            <w:tcW w:w="4428" w:type="dxa"/>
          </w:tcPr>
          <w:p w14:paraId="3998A9B9" w14:textId="70D35B1E" w:rsidR="00656B1E" w:rsidRPr="00396CDF" w:rsidRDefault="001A1EB6" w:rsidP="00092B64">
            <w:pPr>
              <w:rPr>
                <w:rFonts w:ascii="Times New Roman" w:hAnsi="Times New Roman" w:cs="Times New Roman"/>
              </w:rPr>
            </w:pPr>
            <w:proofErr w:type="gramStart"/>
            <w:r w:rsidRPr="00396CDF">
              <w:rPr>
                <w:rFonts w:ascii="Times New Roman" w:hAnsi="Times New Roman" w:cs="Times New Roman"/>
              </w:rPr>
              <w:t>xx.xx</w:t>
            </w:r>
            <w:proofErr w:type="gramEnd"/>
          </w:p>
        </w:tc>
      </w:tr>
      <w:tr w:rsidR="00656B1E" w:rsidRPr="00396CDF" w14:paraId="08149914" w14:textId="77777777" w:rsidTr="00961846">
        <w:tc>
          <w:tcPr>
            <w:tcW w:w="4428" w:type="dxa"/>
          </w:tcPr>
          <w:p w14:paraId="236AF46A" w14:textId="19414E30" w:rsidR="00656B1E" w:rsidRPr="00396CDF" w:rsidRDefault="00656B1E" w:rsidP="00656B1E">
            <w:pPr>
              <w:ind w:left="360"/>
              <w:rPr>
                <w:rFonts w:ascii="Times New Roman" w:hAnsi="Times New Roman" w:cs="Times New Roman"/>
              </w:rPr>
            </w:pPr>
            <w:r w:rsidRPr="00396CDF">
              <w:rPr>
                <w:rFonts w:ascii="Times New Roman" w:hAnsi="Times New Roman" w:cs="Times New Roman"/>
              </w:rPr>
              <w:t>Participation in non-NACEP accredited concurrent enrollment</w:t>
            </w:r>
          </w:p>
        </w:tc>
        <w:tc>
          <w:tcPr>
            <w:tcW w:w="4428" w:type="dxa"/>
          </w:tcPr>
          <w:p w14:paraId="592F5675" w14:textId="3D605D95" w:rsidR="00656B1E" w:rsidRPr="00396CDF" w:rsidRDefault="001A1EB6" w:rsidP="00092B64">
            <w:pPr>
              <w:rPr>
                <w:rFonts w:ascii="Times New Roman" w:hAnsi="Times New Roman" w:cs="Times New Roman"/>
              </w:rPr>
            </w:pPr>
            <w:r w:rsidRPr="00396CDF">
              <w:rPr>
                <w:rFonts w:ascii="Times New Roman" w:hAnsi="Times New Roman" w:cs="Times New Roman"/>
              </w:rPr>
              <w:t>Yes, no, unknown</w:t>
            </w:r>
          </w:p>
        </w:tc>
      </w:tr>
    </w:tbl>
    <w:p w14:paraId="10E4C96C" w14:textId="51148DA2" w:rsidR="00961846" w:rsidRPr="00396CDF" w:rsidRDefault="001A1EB6" w:rsidP="00092B64">
      <w:pPr>
        <w:rPr>
          <w:rFonts w:ascii="Times New Roman" w:hAnsi="Times New Roman" w:cs="Times New Roman"/>
        </w:rPr>
      </w:pPr>
      <w:r w:rsidRPr="00396CDF">
        <w:rPr>
          <w:rFonts w:ascii="Times New Roman" w:hAnsi="Times New Roman" w:cs="Times New Roman"/>
          <w:i/>
        </w:rPr>
        <w:t>Note:</w:t>
      </w:r>
      <w:r w:rsidRPr="00396CDF">
        <w:rPr>
          <w:rFonts w:ascii="Times New Roman" w:hAnsi="Times New Roman" w:cs="Times New Roman"/>
        </w:rPr>
        <w:t xml:space="preserve"> Data on academic performance and achievement will be collected each term of high school enrollment, so students may have multiple values for some variables. These values may be aggregated to the categories in Table 2 for analytic purpose. </w:t>
      </w:r>
    </w:p>
    <w:p w14:paraId="340FFDBD" w14:textId="77777777" w:rsidR="00961846" w:rsidRPr="00396CDF" w:rsidRDefault="00961846" w:rsidP="00092B64">
      <w:pPr>
        <w:rPr>
          <w:rFonts w:ascii="Times New Roman" w:hAnsi="Times New Roman" w:cs="Times New Roman"/>
        </w:rPr>
      </w:pPr>
    </w:p>
    <w:p w14:paraId="6F421498" w14:textId="338A4BFF" w:rsidR="0044614E" w:rsidRPr="00396CDF" w:rsidRDefault="00770186" w:rsidP="00092B64">
      <w:pPr>
        <w:rPr>
          <w:rFonts w:ascii="Times New Roman" w:hAnsi="Times New Roman" w:cs="Times New Roman"/>
        </w:rPr>
      </w:pPr>
      <w:r w:rsidRPr="00396CDF">
        <w:rPr>
          <w:rFonts w:ascii="Times New Roman" w:hAnsi="Times New Roman" w:cs="Times New Roman"/>
        </w:rPr>
        <w:t xml:space="preserve">As previously mentioned, high school-level variation will be accounted for not by including high-school level variables </w:t>
      </w:r>
      <w:r w:rsidR="007334ED" w:rsidRPr="00396CDF">
        <w:rPr>
          <w:rFonts w:ascii="Times New Roman" w:hAnsi="Times New Roman" w:cs="Times New Roman"/>
        </w:rPr>
        <w:t xml:space="preserve">in the construction of the propensity score </w:t>
      </w:r>
      <w:r w:rsidRPr="00396CDF">
        <w:rPr>
          <w:rFonts w:ascii="Times New Roman" w:hAnsi="Times New Roman" w:cs="Times New Roman"/>
        </w:rPr>
        <w:t xml:space="preserve">but by matching </w:t>
      </w:r>
      <w:r w:rsidR="007334ED" w:rsidRPr="00396CDF">
        <w:rPr>
          <w:rFonts w:ascii="Times New Roman" w:hAnsi="Times New Roman" w:cs="Times New Roman"/>
        </w:rPr>
        <w:t xml:space="preserve">treatment and control conditions </w:t>
      </w:r>
      <w:r w:rsidRPr="00396CDF">
        <w:rPr>
          <w:rFonts w:ascii="Times New Roman" w:hAnsi="Times New Roman" w:cs="Times New Roman"/>
        </w:rPr>
        <w:t xml:space="preserve">within high schools. </w:t>
      </w:r>
      <w:r w:rsidR="007334ED" w:rsidRPr="00396CDF">
        <w:rPr>
          <w:rFonts w:ascii="Times New Roman" w:hAnsi="Times New Roman" w:cs="Times New Roman"/>
        </w:rPr>
        <w:t>That is, a control student will be matched to a treatment student only if there is an adequate match within the treatment students’ high school. The strength of matching within high schools is that we can reasonably assume that any high school-level policies, norms, or institutional practices that influence treatment assignment are accounted for because treatment and control students are similarly exposed to these</w:t>
      </w:r>
      <w:r w:rsidR="0076226A" w:rsidRPr="00396CDF">
        <w:rPr>
          <w:rFonts w:ascii="Times New Roman" w:hAnsi="Times New Roman" w:cs="Times New Roman"/>
        </w:rPr>
        <w:t xml:space="preserve"> school-level experiences</w:t>
      </w:r>
      <w:r w:rsidR="007334ED" w:rsidRPr="00396CDF">
        <w:rPr>
          <w:rFonts w:ascii="Times New Roman" w:hAnsi="Times New Roman" w:cs="Times New Roman"/>
        </w:rPr>
        <w:t xml:space="preserve"> (Murnane &amp; Willett, 2011;</w:t>
      </w:r>
      <w:r w:rsidR="00CC2997" w:rsidRPr="00396CDF">
        <w:rPr>
          <w:rFonts w:ascii="Times New Roman" w:hAnsi="Times New Roman" w:cs="Times New Roman"/>
        </w:rPr>
        <w:t xml:space="preserve"> Reardon, Cheadle, &amp; Robinson</w:t>
      </w:r>
      <w:r w:rsidR="007334ED" w:rsidRPr="00396CDF">
        <w:rPr>
          <w:rFonts w:ascii="Times New Roman" w:hAnsi="Times New Roman" w:cs="Times New Roman"/>
        </w:rPr>
        <w:t xml:space="preserve">, 2009). </w:t>
      </w:r>
      <w:r w:rsidR="00456928" w:rsidRPr="00396CDF">
        <w:rPr>
          <w:rFonts w:ascii="Times New Roman" w:hAnsi="Times New Roman" w:cs="Times New Roman"/>
        </w:rPr>
        <w:t xml:space="preserve">A limitation of this approach is that there may be inadequate matches within high schools in which case some treatment units may not be matched and used in the final model. </w:t>
      </w:r>
    </w:p>
    <w:p w14:paraId="4EDE2D0C" w14:textId="77777777" w:rsidR="00935F8D" w:rsidRPr="00396CDF" w:rsidRDefault="00935F8D" w:rsidP="00092B64">
      <w:pPr>
        <w:rPr>
          <w:rFonts w:ascii="Times New Roman" w:hAnsi="Times New Roman" w:cs="Times New Roman"/>
        </w:rPr>
      </w:pPr>
    </w:p>
    <w:p w14:paraId="0235BB44" w14:textId="72803EEB" w:rsidR="00935F8D" w:rsidRPr="00396CDF" w:rsidRDefault="00801A06" w:rsidP="00092B64">
      <w:pPr>
        <w:rPr>
          <w:rFonts w:ascii="Times New Roman" w:hAnsi="Times New Roman" w:cs="Times New Roman"/>
        </w:rPr>
      </w:pPr>
      <w:r w:rsidRPr="00396CDF">
        <w:rPr>
          <w:rFonts w:ascii="Times New Roman" w:hAnsi="Times New Roman" w:cs="Times New Roman"/>
          <w:b/>
        </w:rPr>
        <w:lastRenderedPageBreak/>
        <w:t xml:space="preserve">Dependent Variables. </w:t>
      </w:r>
      <w:r w:rsidRPr="00396CDF">
        <w:rPr>
          <w:rFonts w:ascii="Times New Roman" w:hAnsi="Times New Roman" w:cs="Times New Roman"/>
        </w:rPr>
        <w:t>The prim</w:t>
      </w:r>
      <w:r w:rsidR="0064557E" w:rsidRPr="00396CDF">
        <w:rPr>
          <w:rFonts w:ascii="Times New Roman" w:hAnsi="Times New Roman" w:cs="Times New Roman"/>
        </w:rPr>
        <w:t>ary dependent variables for this an</w:t>
      </w:r>
      <w:r w:rsidR="00961846" w:rsidRPr="00396CDF">
        <w:rPr>
          <w:rFonts w:ascii="Times New Roman" w:hAnsi="Times New Roman" w:cs="Times New Roman"/>
        </w:rPr>
        <w:t>alysis are summarized in Table 3</w:t>
      </w:r>
      <w:r w:rsidR="007858FF" w:rsidRPr="00396CDF">
        <w:rPr>
          <w:rFonts w:ascii="Times New Roman" w:hAnsi="Times New Roman" w:cs="Times New Roman"/>
        </w:rPr>
        <w:t xml:space="preserve"> and are the outcome variables of interest</w:t>
      </w:r>
      <w:r w:rsidR="0064557E" w:rsidRPr="00396CDF">
        <w:rPr>
          <w:rFonts w:ascii="Times New Roman" w:hAnsi="Times New Roman" w:cs="Times New Roman"/>
        </w:rPr>
        <w:t xml:space="preserve">. </w:t>
      </w:r>
      <w:r w:rsidR="007858FF" w:rsidRPr="00396CDF">
        <w:rPr>
          <w:rFonts w:ascii="Times New Roman" w:hAnsi="Times New Roman" w:cs="Times New Roman"/>
        </w:rPr>
        <w:t xml:space="preserve">That is, this study will answer the question of the extent to which quality concurrent enrollment impacts students’ chances of enrolling in college, being retained in college, and ultimately completing college. </w:t>
      </w:r>
    </w:p>
    <w:p w14:paraId="06E5608E" w14:textId="77777777" w:rsidR="0064557E" w:rsidRPr="00396CDF" w:rsidRDefault="0064557E" w:rsidP="00092B64">
      <w:pPr>
        <w:rPr>
          <w:rFonts w:ascii="Times New Roman" w:hAnsi="Times New Roman" w:cs="Times New Roman"/>
        </w:rPr>
      </w:pPr>
    </w:p>
    <w:p w14:paraId="727545E7" w14:textId="784F1B98" w:rsidR="000B766B" w:rsidRPr="00396CDF" w:rsidRDefault="00961846" w:rsidP="00092B64">
      <w:pPr>
        <w:rPr>
          <w:rFonts w:ascii="Times New Roman" w:hAnsi="Times New Roman" w:cs="Times New Roman"/>
        </w:rPr>
      </w:pPr>
      <w:r w:rsidRPr="00396CDF">
        <w:rPr>
          <w:rFonts w:ascii="Times New Roman" w:hAnsi="Times New Roman" w:cs="Times New Roman"/>
        </w:rPr>
        <w:t>Table 3</w:t>
      </w:r>
      <w:r w:rsidR="004A6F36" w:rsidRPr="00396CDF">
        <w:rPr>
          <w:rFonts w:ascii="Times New Roman" w:hAnsi="Times New Roman" w:cs="Times New Roman"/>
        </w:rPr>
        <w:t xml:space="preserve"> </w:t>
      </w:r>
    </w:p>
    <w:p w14:paraId="68498DB7" w14:textId="1807A4EF" w:rsidR="004A6F36" w:rsidRPr="00396CDF" w:rsidRDefault="004A6F36" w:rsidP="00092B64">
      <w:pPr>
        <w:rPr>
          <w:rFonts w:ascii="Times New Roman" w:hAnsi="Times New Roman" w:cs="Times New Roman"/>
        </w:rPr>
      </w:pPr>
      <w:r w:rsidRPr="00396CDF">
        <w:rPr>
          <w:rFonts w:ascii="Times New Roman" w:hAnsi="Times New Roman" w:cs="Times New Roman"/>
        </w:rPr>
        <w:t xml:space="preserve">Dependent </w:t>
      </w:r>
      <w:r w:rsidR="00E03955" w:rsidRPr="00396CDF">
        <w:rPr>
          <w:rFonts w:ascii="Times New Roman" w:hAnsi="Times New Roman" w:cs="Times New Roman"/>
        </w:rPr>
        <w:t>Variables</w:t>
      </w:r>
    </w:p>
    <w:tbl>
      <w:tblPr>
        <w:tblStyle w:val="TableGrid"/>
        <w:tblW w:w="0" w:type="auto"/>
        <w:tblLook w:val="04A0" w:firstRow="1" w:lastRow="0" w:firstColumn="1" w:lastColumn="0" w:noHBand="0" w:noVBand="1"/>
      </w:tblPr>
      <w:tblGrid>
        <w:gridCol w:w="2358"/>
        <w:gridCol w:w="6498"/>
      </w:tblGrid>
      <w:tr w:rsidR="0064557E" w:rsidRPr="00396CDF" w14:paraId="68733951" w14:textId="77777777" w:rsidTr="0064557E">
        <w:tc>
          <w:tcPr>
            <w:tcW w:w="2358" w:type="dxa"/>
          </w:tcPr>
          <w:p w14:paraId="0AD3BBA7" w14:textId="1534E73A" w:rsidR="0064557E" w:rsidRPr="00396CDF" w:rsidRDefault="0064557E" w:rsidP="00092B64">
            <w:pPr>
              <w:rPr>
                <w:rFonts w:ascii="Times New Roman" w:hAnsi="Times New Roman" w:cs="Times New Roman"/>
                <w:b/>
              </w:rPr>
            </w:pPr>
            <w:r w:rsidRPr="00396CDF">
              <w:rPr>
                <w:rFonts w:ascii="Times New Roman" w:hAnsi="Times New Roman" w:cs="Times New Roman"/>
                <w:b/>
              </w:rPr>
              <w:t>Variable</w:t>
            </w:r>
          </w:p>
        </w:tc>
        <w:tc>
          <w:tcPr>
            <w:tcW w:w="6498" w:type="dxa"/>
          </w:tcPr>
          <w:p w14:paraId="77D2AE3C" w14:textId="2997570A" w:rsidR="0064557E" w:rsidRPr="00396CDF" w:rsidRDefault="0064557E" w:rsidP="00092B64">
            <w:pPr>
              <w:rPr>
                <w:rFonts w:ascii="Times New Roman" w:hAnsi="Times New Roman" w:cs="Times New Roman"/>
                <w:b/>
              </w:rPr>
            </w:pPr>
            <w:r w:rsidRPr="00396CDF">
              <w:rPr>
                <w:rFonts w:ascii="Times New Roman" w:hAnsi="Times New Roman" w:cs="Times New Roman"/>
                <w:b/>
              </w:rPr>
              <w:t>Definition</w:t>
            </w:r>
          </w:p>
        </w:tc>
      </w:tr>
      <w:tr w:rsidR="0064557E" w:rsidRPr="00396CDF" w14:paraId="03C451C8" w14:textId="77777777" w:rsidTr="0064557E">
        <w:tc>
          <w:tcPr>
            <w:tcW w:w="2358" w:type="dxa"/>
          </w:tcPr>
          <w:p w14:paraId="276ACCA4" w14:textId="6D24194D" w:rsidR="0064557E" w:rsidRPr="00396CDF" w:rsidRDefault="0064557E" w:rsidP="0064557E">
            <w:pPr>
              <w:rPr>
                <w:rFonts w:ascii="Times New Roman" w:hAnsi="Times New Roman" w:cs="Times New Roman"/>
              </w:rPr>
            </w:pPr>
            <w:r w:rsidRPr="00396CDF">
              <w:rPr>
                <w:rFonts w:ascii="Times New Roman" w:hAnsi="Times New Roman" w:cs="Times New Roman"/>
              </w:rPr>
              <w:t>Immediate Enrollment in College</w:t>
            </w:r>
          </w:p>
        </w:tc>
        <w:tc>
          <w:tcPr>
            <w:tcW w:w="6498" w:type="dxa"/>
          </w:tcPr>
          <w:p w14:paraId="47397EDA" w14:textId="2040B31D" w:rsidR="0064557E" w:rsidRPr="00396CDF" w:rsidRDefault="0064557E" w:rsidP="00092B64">
            <w:pPr>
              <w:rPr>
                <w:rFonts w:ascii="Times New Roman" w:hAnsi="Times New Roman" w:cs="Times New Roman"/>
              </w:rPr>
            </w:pPr>
            <w:r w:rsidRPr="00396CDF">
              <w:rPr>
                <w:rFonts w:ascii="Times New Roman" w:hAnsi="Times New Roman" w:cs="Times New Roman"/>
              </w:rPr>
              <w:t>Student enrolls in college immediately after high school graduation (by Fall 2010)</w:t>
            </w:r>
          </w:p>
        </w:tc>
      </w:tr>
      <w:tr w:rsidR="0064557E" w:rsidRPr="00396CDF" w14:paraId="73EE3A06" w14:textId="77777777" w:rsidTr="0064557E">
        <w:tc>
          <w:tcPr>
            <w:tcW w:w="2358" w:type="dxa"/>
          </w:tcPr>
          <w:p w14:paraId="3FF1E741" w14:textId="680FBCCD" w:rsidR="0064557E" w:rsidRPr="00396CDF" w:rsidRDefault="0064557E" w:rsidP="0064557E">
            <w:pPr>
              <w:rPr>
                <w:rFonts w:ascii="Times New Roman" w:hAnsi="Times New Roman" w:cs="Times New Roman"/>
              </w:rPr>
            </w:pPr>
            <w:r w:rsidRPr="00396CDF">
              <w:rPr>
                <w:rFonts w:ascii="Times New Roman" w:hAnsi="Times New Roman" w:cs="Times New Roman"/>
              </w:rPr>
              <w:t>Fall to Spring Retention</w:t>
            </w:r>
          </w:p>
        </w:tc>
        <w:tc>
          <w:tcPr>
            <w:tcW w:w="6498" w:type="dxa"/>
          </w:tcPr>
          <w:p w14:paraId="3E418DEB" w14:textId="71A8A5C0" w:rsidR="0064557E" w:rsidRPr="00396CDF" w:rsidRDefault="0064557E" w:rsidP="00092B64">
            <w:pPr>
              <w:rPr>
                <w:rFonts w:ascii="Times New Roman" w:hAnsi="Times New Roman" w:cs="Times New Roman"/>
              </w:rPr>
            </w:pPr>
            <w:r w:rsidRPr="00396CDF">
              <w:rPr>
                <w:rFonts w:ascii="Times New Roman" w:hAnsi="Times New Roman" w:cs="Times New Roman"/>
              </w:rPr>
              <w:t>Student is retained by college (or enrolled in another college) in Spring 2011 semester</w:t>
            </w:r>
          </w:p>
        </w:tc>
      </w:tr>
      <w:tr w:rsidR="0064557E" w:rsidRPr="00396CDF" w14:paraId="1309818C" w14:textId="77777777" w:rsidTr="0064557E">
        <w:tc>
          <w:tcPr>
            <w:tcW w:w="2358" w:type="dxa"/>
          </w:tcPr>
          <w:p w14:paraId="644787DD" w14:textId="4C9F9EFF" w:rsidR="0064557E" w:rsidRPr="00396CDF" w:rsidRDefault="0064557E" w:rsidP="0064557E">
            <w:pPr>
              <w:rPr>
                <w:rFonts w:ascii="Times New Roman" w:hAnsi="Times New Roman" w:cs="Times New Roman"/>
              </w:rPr>
            </w:pPr>
            <w:r w:rsidRPr="00396CDF">
              <w:rPr>
                <w:rFonts w:ascii="Times New Roman" w:hAnsi="Times New Roman" w:cs="Times New Roman"/>
              </w:rPr>
              <w:t>Fall to Fall Retention</w:t>
            </w:r>
          </w:p>
        </w:tc>
        <w:tc>
          <w:tcPr>
            <w:tcW w:w="6498" w:type="dxa"/>
          </w:tcPr>
          <w:p w14:paraId="27340DFE" w14:textId="738F1D4B" w:rsidR="0064557E" w:rsidRPr="00396CDF" w:rsidRDefault="0064557E" w:rsidP="0064557E">
            <w:pPr>
              <w:rPr>
                <w:rFonts w:ascii="Times New Roman" w:hAnsi="Times New Roman" w:cs="Times New Roman"/>
              </w:rPr>
            </w:pPr>
            <w:r w:rsidRPr="00396CDF">
              <w:rPr>
                <w:rFonts w:ascii="Times New Roman" w:hAnsi="Times New Roman" w:cs="Times New Roman"/>
              </w:rPr>
              <w:t>Student is retained by college (or enrolled in another college) in Fall 2011 semester</w:t>
            </w:r>
          </w:p>
        </w:tc>
      </w:tr>
      <w:tr w:rsidR="0064557E" w:rsidRPr="00396CDF" w14:paraId="071896A9" w14:textId="77777777" w:rsidTr="0064557E">
        <w:tc>
          <w:tcPr>
            <w:tcW w:w="2358" w:type="dxa"/>
          </w:tcPr>
          <w:p w14:paraId="4426B867" w14:textId="5463AF25" w:rsidR="0064557E" w:rsidRPr="00396CDF" w:rsidRDefault="0064557E" w:rsidP="0064557E">
            <w:pPr>
              <w:rPr>
                <w:rFonts w:ascii="Times New Roman" w:hAnsi="Times New Roman" w:cs="Times New Roman"/>
              </w:rPr>
            </w:pPr>
            <w:r w:rsidRPr="00396CDF">
              <w:rPr>
                <w:rFonts w:ascii="Times New Roman" w:hAnsi="Times New Roman" w:cs="Times New Roman"/>
              </w:rPr>
              <w:t xml:space="preserve">College Completion </w:t>
            </w:r>
          </w:p>
        </w:tc>
        <w:tc>
          <w:tcPr>
            <w:tcW w:w="6498" w:type="dxa"/>
          </w:tcPr>
          <w:p w14:paraId="1C7D1EF0" w14:textId="0F4303AC" w:rsidR="0064557E" w:rsidRPr="00396CDF" w:rsidRDefault="0064557E" w:rsidP="00092B64">
            <w:pPr>
              <w:rPr>
                <w:rFonts w:ascii="Times New Roman" w:hAnsi="Times New Roman" w:cs="Times New Roman"/>
              </w:rPr>
            </w:pPr>
            <w:r w:rsidRPr="00396CDF">
              <w:rPr>
                <w:rFonts w:ascii="Times New Roman" w:hAnsi="Times New Roman" w:cs="Times New Roman"/>
              </w:rPr>
              <w:t>Student completes college credential</w:t>
            </w:r>
          </w:p>
        </w:tc>
      </w:tr>
    </w:tbl>
    <w:p w14:paraId="3F3F9DF3" w14:textId="77777777" w:rsidR="00D3005B" w:rsidRPr="00396CDF" w:rsidRDefault="00D3005B" w:rsidP="00092B64">
      <w:pPr>
        <w:rPr>
          <w:rFonts w:ascii="Times New Roman" w:hAnsi="Times New Roman" w:cs="Times New Roman"/>
        </w:rPr>
      </w:pPr>
    </w:p>
    <w:p w14:paraId="4FA5BD1F" w14:textId="77777777" w:rsidR="003C33C1" w:rsidRPr="00396CDF" w:rsidRDefault="003C33C1" w:rsidP="00092B64">
      <w:pPr>
        <w:rPr>
          <w:rFonts w:ascii="Times New Roman" w:hAnsi="Times New Roman" w:cs="Times New Roman"/>
        </w:rPr>
      </w:pPr>
    </w:p>
    <w:p w14:paraId="331E96B8" w14:textId="2EA230AB" w:rsidR="00CC2997" w:rsidRPr="00396CDF" w:rsidRDefault="00CC2997" w:rsidP="00092B64">
      <w:pPr>
        <w:rPr>
          <w:rFonts w:ascii="Times New Roman" w:hAnsi="Times New Roman" w:cs="Times New Roman"/>
          <w:b/>
        </w:rPr>
      </w:pPr>
      <w:r w:rsidRPr="00396CDF">
        <w:rPr>
          <w:rFonts w:ascii="Times New Roman" w:hAnsi="Times New Roman" w:cs="Times New Roman"/>
          <w:b/>
        </w:rPr>
        <w:t>Analytic Approach</w:t>
      </w:r>
    </w:p>
    <w:p w14:paraId="3A9FB620" w14:textId="669ACE4C" w:rsidR="00A11F48" w:rsidRPr="00396CDF" w:rsidRDefault="001B49CB" w:rsidP="00A11F48">
      <w:pPr>
        <w:tabs>
          <w:tab w:val="left" w:pos="6840"/>
        </w:tabs>
        <w:rPr>
          <w:rFonts w:ascii="Times New Roman" w:hAnsi="Times New Roman" w:cs="Times New Roman"/>
        </w:rPr>
      </w:pPr>
      <w:r w:rsidRPr="00396CDF">
        <w:rPr>
          <w:rFonts w:ascii="Times New Roman" w:hAnsi="Times New Roman" w:cs="Times New Roman"/>
        </w:rPr>
        <w:t>Beyond descriptive statistics, t</w:t>
      </w:r>
      <w:r w:rsidR="00A11F48" w:rsidRPr="00396CDF">
        <w:rPr>
          <w:rFonts w:ascii="Times New Roman" w:hAnsi="Times New Roman" w:cs="Times New Roman"/>
        </w:rPr>
        <w:t xml:space="preserve">he analytical strategy in this study will employ propensity score matching. The following steps will be conducted to determine the </w:t>
      </w:r>
      <w:r w:rsidR="007858FF" w:rsidRPr="00396CDF">
        <w:rPr>
          <w:rFonts w:ascii="Times New Roman" w:hAnsi="Times New Roman" w:cs="Times New Roman"/>
        </w:rPr>
        <w:t>average treatment effect on the treated (</w:t>
      </w:r>
      <w:r w:rsidR="00A11F48" w:rsidRPr="00396CDF">
        <w:rPr>
          <w:rFonts w:ascii="Times New Roman" w:hAnsi="Times New Roman" w:cs="Times New Roman"/>
        </w:rPr>
        <w:t>ATT</w:t>
      </w:r>
      <w:r w:rsidR="007858FF" w:rsidRPr="00396CDF">
        <w:rPr>
          <w:rFonts w:ascii="Times New Roman" w:hAnsi="Times New Roman" w:cs="Times New Roman"/>
        </w:rPr>
        <w:t>)</w:t>
      </w:r>
      <w:r w:rsidR="00A11F48" w:rsidRPr="00396CDF">
        <w:rPr>
          <w:rFonts w:ascii="Times New Roman" w:hAnsi="Times New Roman" w:cs="Times New Roman"/>
        </w:rPr>
        <w:t xml:space="preserve"> and test the sensitivity of the results: </w:t>
      </w:r>
      <w:r w:rsidR="0007602D" w:rsidRPr="00396CDF">
        <w:rPr>
          <w:rFonts w:ascii="Times New Roman" w:hAnsi="Times New Roman" w:cs="Times New Roman"/>
        </w:rPr>
        <w:t>a) select</w:t>
      </w:r>
      <w:r w:rsidR="00C73518" w:rsidRPr="00396CDF">
        <w:rPr>
          <w:rFonts w:ascii="Times New Roman" w:hAnsi="Times New Roman" w:cs="Times New Roman"/>
        </w:rPr>
        <w:t xml:space="preserve"> variables for propensity score and creating propensity score</w:t>
      </w:r>
      <w:r w:rsidR="00EE3008" w:rsidRPr="00396CDF">
        <w:rPr>
          <w:rFonts w:ascii="Times New Roman" w:hAnsi="Times New Roman" w:cs="Times New Roman"/>
        </w:rPr>
        <w:t xml:space="preserve"> using logistic regression (and fixed effects to account for between institution selection bias)</w:t>
      </w:r>
      <w:r w:rsidR="00C73518" w:rsidRPr="00396CDF">
        <w:rPr>
          <w:rFonts w:ascii="Times New Roman" w:hAnsi="Times New Roman" w:cs="Times New Roman"/>
        </w:rPr>
        <w:t>; b) check for common support in propensity score between the treatment and control groups; c) conduct matching using caliper matching; d) check the balance of covariates; e) estimate the ATT; f) conduct sensitivity analysis (Caliendo &amp; Kopeinig, 2008; Rui &amp; Bai, 2011)</w:t>
      </w:r>
      <w:r w:rsidR="00A11F48" w:rsidRPr="00396CDF">
        <w:rPr>
          <w:rFonts w:ascii="Times New Roman" w:hAnsi="Times New Roman" w:cs="Times New Roman"/>
        </w:rPr>
        <w:t xml:space="preserve">. </w:t>
      </w:r>
    </w:p>
    <w:p w14:paraId="493F841C" w14:textId="77777777" w:rsidR="00A11F48" w:rsidRPr="00396CDF" w:rsidRDefault="00A11F48" w:rsidP="00A11F48">
      <w:pPr>
        <w:tabs>
          <w:tab w:val="left" w:pos="6840"/>
        </w:tabs>
        <w:rPr>
          <w:rFonts w:ascii="Times New Roman" w:hAnsi="Times New Roman" w:cs="Times New Roman"/>
        </w:rPr>
      </w:pPr>
    </w:p>
    <w:p w14:paraId="1A46F142" w14:textId="629BBAFC" w:rsidR="00CC2997" w:rsidRPr="00396CDF" w:rsidRDefault="00090863" w:rsidP="00A11F48">
      <w:pPr>
        <w:tabs>
          <w:tab w:val="left" w:pos="6840"/>
        </w:tabs>
        <w:rPr>
          <w:rFonts w:ascii="Times New Roman" w:hAnsi="Times New Roman" w:cs="Times New Roman"/>
        </w:rPr>
      </w:pPr>
      <w:r w:rsidRPr="00396CDF">
        <w:rPr>
          <w:rFonts w:ascii="Times New Roman" w:hAnsi="Times New Roman" w:cs="Times New Roman"/>
        </w:rPr>
        <w:t xml:space="preserve">This sequence of steps will be conducted </w:t>
      </w:r>
      <w:r w:rsidR="007858FF" w:rsidRPr="00396CDF">
        <w:rPr>
          <w:rFonts w:ascii="Times New Roman" w:hAnsi="Times New Roman" w:cs="Times New Roman"/>
        </w:rPr>
        <w:t xml:space="preserve">several times for </w:t>
      </w:r>
      <w:r w:rsidR="00EA24D1" w:rsidRPr="00396CDF">
        <w:rPr>
          <w:rFonts w:ascii="Times New Roman" w:hAnsi="Times New Roman" w:cs="Times New Roman"/>
        </w:rPr>
        <w:t xml:space="preserve">the full sample, and for </w:t>
      </w:r>
      <w:r w:rsidR="007858FF" w:rsidRPr="00396CDF">
        <w:rPr>
          <w:rFonts w:ascii="Times New Roman" w:hAnsi="Times New Roman" w:cs="Times New Roman"/>
        </w:rPr>
        <w:t>sub-samples of students</w:t>
      </w:r>
      <w:r w:rsidR="00EA24D1" w:rsidRPr="00396CDF">
        <w:rPr>
          <w:rFonts w:ascii="Times New Roman" w:hAnsi="Times New Roman" w:cs="Times New Roman"/>
        </w:rPr>
        <w:t xml:space="preserve"> of a) low-income students; b) high-income students; c) students of color; White students; d) low-achieving students (as measured by HS GPA); and e) high-achieving students</w:t>
      </w:r>
      <w:r w:rsidRPr="00396CDF">
        <w:rPr>
          <w:rFonts w:ascii="Times New Roman" w:hAnsi="Times New Roman" w:cs="Times New Roman"/>
        </w:rPr>
        <w:t xml:space="preserve">. </w:t>
      </w:r>
      <w:r w:rsidR="00EA24D1" w:rsidRPr="00396CDF">
        <w:rPr>
          <w:rFonts w:ascii="Times New Roman" w:hAnsi="Times New Roman" w:cs="Times New Roman"/>
        </w:rPr>
        <w:t xml:space="preserve">For the full sample and for each sub-sample, four models will be run that estimate the ATT of quality concurrent enrollment participation on the four dependent variables: a) immediate college enrollment; b) fall-to-spring retention; c) fall-to-fall retention; and d) college completion. </w:t>
      </w:r>
    </w:p>
    <w:p w14:paraId="3788E85C" w14:textId="77777777" w:rsidR="00CC2997" w:rsidRPr="00396CDF" w:rsidRDefault="00CC2997" w:rsidP="00092B64">
      <w:pPr>
        <w:rPr>
          <w:rFonts w:ascii="Times New Roman" w:hAnsi="Times New Roman" w:cs="Times New Roman"/>
        </w:rPr>
      </w:pPr>
    </w:p>
    <w:p w14:paraId="64615A09" w14:textId="2B5A981B" w:rsidR="00AE20F9" w:rsidRPr="00396CDF" w:rsidRDefault="003C33C1" w:rsidP="00092B64">
      <w:pPr>
        <w:rPr>
          <w:rFonts w:ascii="Times New Roman" w:hAnsi="Times New Roman" w:cs="Times New Roman"/>
        </w:rPr>
      </w:pPr>
      <w:r w:rsidRPr="00396CDF">
        <w:rPr>
          <w:rFonts w:ascii="Times New Roman" w:hAnsi="Times New Roman" w:cs="Times New Roman"/>
          <w:b/>
        </w:rPr>
        <w:t>Internal Validity</w:t>
      </w:r>
      <w:r w:rsidR="00F76308" w:rsidRPr="00396CDF">
        <w:rPr>
          <w:rFonts w:ascii="Times New Roman" w:hAnsi="Times New Roman" w:cs="Times New Roman"/>
          <w:b/>
        </w:rPr>
        <w:t xml:space="preserve">. </w:t>
      </w:r>
      <w:r w:rsidR="00F76308" w:rsidRPr="00396CDF">
        <w:rPr>
          <w:rFonts w:ascii="Times New Roman" w:hAnsi="Times New Roman" w:cs="Times New Roman"/>
        </w:rPr>
        <w:t>The</w:t>
      </w:r>
      <w:r w:rsidR="00F76308" w:rsidRPr="00396CDF">
        <w:rPr>
          <w:rFonts w:ascii="Times New Roman" w:hAnsi="Times New Roman" w:cs="Times New Roman"/>
          <w:b/>
        </w:rPr>
        <w:t xml:space="preserve"> </w:t>
      </w:r>
      <w:r w:rsidR="00F76308" w:rsidRPr="00396CDF">
        <w:rPr>
          <w:rFonts w:ascii="Times New Roman" w:hAnsi="Times New Roman" w:cs="Times New Roman"/>
        </w:rPr>
        <w:t xml:space="preserve">purpose of the quantitative portion of this study is to examine the relationship between quality concurrent enrollment (treatment) and postsecondary success. In its simplest meaning, internal validity is the extent to which we are </w:t>
      </w:r>
      <w:r w:rsidR="00485A31" w:rsidRPr="00396CDF">
        <w:rPr>
          <w:rFonts w:ascii="Times New Roman" w:hAnsi="Times New Roman" w:cs="Times New Roman"/>
        </w:rPr>
        <w:t xml:space="preserve">confidence </w:t>
      </w:r>
      <w:r w:rsidR="00F76308" w:rsidRPr="00396CDF">
        <w:rPr>
          <w:rFonts w:ascii="Times New Roman" w:hAnsi="Times New Roman" w:cs="Times New Roman"/>
        </w:rPr>
        <w:t xml:space="preserve">there is </w:t>
      </w:r>
      <w:r w:rsidR="00485A31" w:rsidRPr="00396CDF">
        <w:rPr>
          <w:rFonts w:ascii="Times New Roman" w:hAnsi="Times New Roman" w:cs="Times New Roman"/>
        </w:rPr>
        <w:t xml:space="preserve">an actual </w:t>
      </w:r>
      <w:r w:rsidR="00F76308" w:rsidRPr="00396CDF">
        <w:rPr>
          <w:rFonts w:ascii="Times New Roman" w:hAnsi="Times New Roman" w:cs="Times New Roman"/>
        </w:rPr>
        <w:t>relationship between the treatment and outcomes</w:t>
      </w:r>
      <w:r w:rsidR="003F6286" w:rsidRPr="00396CDF">
        <w:rPr>
          <w:rFonts w:ascii="Times New Roman" w:hAnsi="Times New Roman" w:cs="Times New Roman"/>
        </w:rPr>
        <w:t xml:space="preserve"> (Campbell &amp; Stanley, 1966)</w:t>
      </w:r>
      <w:r w:rsidR="00F76308" w:rsidRPr="00396CDF">
        <w:rPr>
          <w:rFonts w:ascii="Times New Roman" w:hAnsi="Times New Roman" w:cs="Times New Roman"/>
        </w:rPr>
        <w:t>.</w:t>
      </w:r>
      <w:r w:rsidR="003F6286" w:rsidRPr="00396CDF">
        <w:rPr>
          <w:rFonts w:ascii="Times New Roman" w:hAnsi="Times New Roman" w:cs="Times New Roman"/>
        </w:rPr>
        <w:t xml:space="preserve"> The largest threat to internal validity in a quasi-experimental study is selection bias. That is, any difference in outcomes between the treatment and control group might be due preexisting differences between the two groups rather than the treatment itself. For example, this study does not measure motivation, college aspirations and intent, or parental influences, which are all factors that could obviously influence selection into concurrent enrollment. </w:t>
      </w:r>
      <w:r w:rsidR="001725A8" w:rsidRPr="00396CDF">
        <w:rPr>
          <w:rFonts w:ascii="Times New Roman" w:hAnsi="Times New Roman" w:cs="Times New Roman"/>
        </w:rPr>
        <w:t xml:space="preserve">Thus, selection bias poses a legitimate threat to internal validity </w:t>
      </w:r>
      <w:r w:rsidR="001725A8" w:rsidRPr="00396CDF">
        <w:rPr>
          <w:rFonts w:ascii="Times New Roman" w:hAnsi="Times New Roman" w:cs="Times New Roman"/>
        </w:rPr>
        <w:lastRenderedPageBreak/>
        <w:t xml:space="preserve">and the strength of the relationship between concurrent enrollment and the outcome variables. </w:t>
      </w:r>
      <w:r w:rsidR="008D44E3" w:rsidRPr="00396CDF">
        <w:rPr>
          <w:rFonts w:ascii="Times New Roman" w:hAnsi="Times New Roman" w:cs="Times New Roman"/>
        </w:rPr>
        <w:t xml:space="preserve">Because this is a legitimate threat, the study includes a sensitivity analysis, which assesses the extent to which the ATT estimates are susceptible to hidden bias. </w:t>
      </w:r>
    </w:p>
    <w:p w14:paraId="245522A2" w14:textId="77777777" w:rsidR="003C33C1" w:rsidRPr="00396CDF" w:rsidRDefault="003C33C1" w:rsidP="00092B64">
      <w:pPr>
        <w:rPr>
          <w:rFonts w:ascii="Times New Roman" w:hAnsi="Times New Roman" w:cs="Times New Roman"/>
        </w:rPr>
      </w:pPr>
    </w:p>
    <w:p w14:paraId="787940B6" w14:textId="5CB18F57" w:rsidR="003C33C1" w:rsidRPr="00396CDF" w:rsidRDefault="003C33C1" w:rsidP="00092B64">
      <w:pPr>
        <w:rPr>
          <w:rFonts w:ascii="Times New Roman" w:hAnsi="Times New Roman" w:cs="Times New Roman"/>
        </w:rPr>
      </w:pPr>
      <w:r w:rsidRPr="00396CDF">
        <w:rPr>
          <w:rFonts w:ascii="Times New Roman" w:hAnsi="Times New Roman" w:cs="Times New Roman"/>
          <w:b/>
        </w:rPr>
        <w:t>External Validity</w:t>
      </w:r>
      <w:r w:rsidR="003F6286" w:rsidRPr="00396CDF">
        <w:rPr>
          <w:rFonts w:ascii="Times New Roman" w:hAnsi="Times New Roman" w:cs="Times New Roman"/>
          <w:b/>
        </w:rPr>
        <w:t xml:space="preserve">. </w:t>
      </w:r>
      <w:r w:rsidR="003F6286" w:rsidRPr="00396CDF">
        <w:rPr>
          <w:rFonts w:ascii="Times New Roman" w:hAnsi="Times New Roman" w:cs="Times New Roman"/>
        </w:rPr>
        <w:t xml:space="preserve">External validity generally refers to the generalizability of the </w:t>
      </w:r>
      <w:r w:rsidR="00E03955" w:rsidRPr="00396CDF">
        <w:rPr>
          <w:rFonts w:ascii="Times New Roman" w:hAnsi="Times New Roman" w:cs="Times New Roman"/>
        </w:rPr>
        <w:t xml:space="preserve">results. The generalizability rests, in part, on the extent to which the sample is generalizable of the total population. Random sampling was not conducted </w:t>
      </w:r>
      <w:r w:rsidR="00050580" w:rsidRPr="00396CDF">
        <w:rPr>
          <w:rFonts w:ascii="Times New Roman" w:hAnsi="Times New Roman" w:cs="Times New Roman"/>
        </w:rPr>
        <w:t xml:space="preserve">nor was it </w:t>
      </w:r>
      <w:r w:rsidR="00E03955" w:rsidRPr="00396CDF">
        <w:rPr>
          <w:rFonts w:ascii="Times New Roman" w:hAnsi="Times New Roman" w:cs="Times New Roman"/>
        </w:rPr>
        <w:t>feasible in this study, and the participating NACEP accredited institutions self-selected to participate in the study or were recruited by researchers</w:t>
      </w:r>
      <w:r w:rsidR="00050580" w:rsidRPr="00396CDF">
        <w:rPr>
          <w:rFonts w:ascii="Times New Roman" w:hAnsi="Times New Roman" w:cs="Times New Roman"/>
        </w:rPr>
        <w:t>. Consequently,</w:t>
      </w:r>
      <w:r w:rsidR="00E03955" w:rsidRPr="00396CDF">
        <w:rPr>
          <w:rFonts w:ascii="Times New Roman" w:hAnsi="Times New Roman" w:cs="Times New Roman"/>
        </w:rPr>
        <w:t xml:space="preserve"> the results are not necessarily generalizable to the larger population of students enrolled at NACEP accredited institutions</w:t>
      </w:r>
      <w:r w:rsidR="00050580" w:rsidRPr="00396CDF">
        <w:rPr>
          <w:rFonts w:ascii="Times New Roman" w:hAnsi="Times New Roman" w:cs="Times New Roman"/>
        </w:rPr>
        <w:t xml:space="preserve"> and participating in NACEP-accredited concurrent enrollment programs</w:t>
      </w:r>
      <w:r w:rsidR="00E03955" w:rsidRPr="00396CDF">
        <w:rPr>
          <w:rFonts w:ascii="Times New Roman" w:hAnsi="Times New Roman" w:cs="Times New Roman"/>
        </w:rPr>
        <w:t>. However, the sample is relatively geographically and institutionally diverse (see Table 1)</w:t>
      </w:r>
      <w:r w:rsidR="00050580" w:rsidRPr="00396CDF">
        <w:rPr>
          <w:rFonts w:ascii="Times New Roman" w:hAnsi="Times New Roman" w:cs="Times New Roman"/>
        </w:rPr>
        <w:t>, mostly reflecting states in the Midwest and West</w:t>
      </w:r>
      <w:r w:rsidR="008D44E3" w:rsidRPr="00396CDF">
        <w:rPr>
          <w:rFonts w:ascii="Times New Roman" w:hAnsi="Times New Roman" w:cs="Times New Roman"/>
        </w:rPr>
        <w:t xml:space="preserve">. Thus, the sample is not nationally representative but by </w:t>
      </w:r>
      <w:r w:rsidR="001725A8" w:rsidRPr="00396CDF">
        <w:rPr>
          <w:rFonts w:ascii="Times New Roman" w:hAnsi="Times New Roman" w:cs="Times New Roman"/>
        </w:rPr>
        <w:t xml:space="preserve">no means </w:t>
      </w:r>
      <w:r w:rsidR="00E03955" w:rsidRPr="00396CDF">
        <w:rPr>
          <w:rFonts w:ascii="Times New Roman" w:hAnsi="Times New Roman" w:cs="Times New Roman"/>
        </w:rPr>
        <w:t>represent</w:t>
      </w:r>
      <w:r w:rsidR="008D44E3" w:rsidRPr="00396CDF">
        <w:rPr>
          <w:rFonts w:ascii="Times New Roman" w:hAnsi="Times New Roman" w:cs="Times New Roman"/>
        </w:rPr>
        <w:t>s</w:t>
      </w:r>
      <w:r w:rsidR="00E03955" w:rsidRPr="00396CDF">
        <w:rPr>
          <w:rFonts w:ascii="Times New Roman" w:hAnsi="Times New Roman" w:cs="Times New Roman"/>
        </w:rPr>
        <w:t xml:space="preserve"> a homogenous group of</w:t>
      </w:r>
      <w:r w:rsidR="008D44E3" w:rsidRPr="00396CDF">
        <w:rPr>
          <w:rFonts w:ascii="Times New Roman" w:hAnsi="Times New Roman" w:cs="Times New Roman"/>
        </w:rPr>
        <w:t xml:space="preserve"> postsecondary</w:t>
      </w:r>
      <w:r w:rsidR="00E03955" w:rsidRPr="00396CDF">
        <w:rPr>
          <w:rFonts w:ascii="Times New Roman" w:hAnsi="Times New Roman" w:cs="Times New Roman"/>
        </w:rPr>
        <w:t xml:space="preserve"> institutions. </w:t>
      </w:r>
    </w:p>
    <w:p w14:paraId="432E9C8F" w14:textId="77777777" w:rsidR="008379A5" w:rsidRPr="00396CDF" w:rsidRDefault="008379A5" w:rsidP="00092B64">
      <w:pPr>
        <w:rPr>
          <w:rFonts w:ascii="Times New Roman" w:hAnsi="Times New Roman" w:cs="Times New Roman"/>
        </w:rPr>
      </w:pPr>
    </w:p>
    <w:p w14:paraId="6E38DFA1" w14:textId="5B0945C6" w:rsidR="008379A5" w:rsidRPr="00396CDF" w:rsidRDefault="008379A5" w:rsidP="00092B64">
      <w:pPr>
        <w:rPr>
          <w:rFonts w:ascii="Times New Roman" w:hAnsi="Times New Roman" w:cs="Times New Roman"/>
          <w:b/>
        </w:rPr>
      </w:pPr>
      <w:r w:rsidRPr="00396CDF">
        <w:rPr>
          <w:rFonts w:ascii="Times New Roman" w:hAnsi="Times New Roman" w:cs="Times New Roman"/>
        </w:rPr>
        <w:t xml:space="preserve">Because of the cross-sectional nature of the student sample in the retrospective study, the results may not be generalized over time. </w:t>
      </w:r>
      <w:r w:rsidR="00050580" w:rsidRPr="00396CDF">
        <w:rPr>
          <w:rFonts w:ascii="Times New Roman" w:hAnsi="Times New Roman" w:cs="Times New Roman"/>
        </w:rPr>
        <w:t xml:space="preserve">That is, the results only reflect one point in time and one cohort of students (spring 2010 high school graduates) and may not generalize to other cohorts of high school graduates. </w:t>
      </w:r>
      <w:r w:rsidRPr="00396CDF">
        <w:rPr>
          <w:rFonts w:ascii="Times New Roman" w:hAnsi="Times New Roman" w:cs="Times New Roman"/>
        </w:rPr>
        <w:t>However, results from the prospective study (described in Phase Two) will allow researchers to compare resu</w:t>
      </w:r>
      <w:r w:rsidR="001B49CB" w:rsidRPr="00396CDF">
        <w:rPr>
          <w:rFonts w:ascii="Times New Roman" w:hAnsi="Times New Roman" w:cs="Times New Roman"/>
        </w:rPr>
        <w:t xml:space="preserve">lts to the retrospective study. </w:t>
      </w:r>
    </w:p>
    <w:p w14:paraId="512CF55F" w14:textId="77777777" w:rsidR="0089191D" w:rsidRPr="00396CDF" w:rsidRDefault="0089191D" w:rsidP="00092B64">
      <w:pPr>
        <w:rPr>
          <w:rFonts w:ascii="Times New Roman" w:hAnsi="Times New Roman" w:cs="Times New Roman"/>
        </w:rPr>
      </w:pPr>
    </w:p>
    <w:p w14:paraId="1511F8A9" w14:textId="17279AEE" w:rsidR="00CE2AFB" w:rsidRPr="00396CDF" w:rsidRDefault="00773CE9" w:rsidP="0098085E">
      <w:pPr>
        <w:rPr>
          <w:rFonts w:ascii="Times New Roman" w:hAnsi="Times New Roman" w:cs="Times New Roman"/>
          <w:b/>
        </w:rPr>
      </w:pPr>
      <w:r w:rsidRPr="00396CDF">
        <w:rPr>
          <w:rFonts w:ascii="Times New Roman" w:hAnsi="Times New Roman" w:cs="Times New Roman"/>
          <w:b/>
        </w:rPr>
        <w:t>Phase Two</w:t>
      </w:r>
    </w:p>
    <w:p w14:paraId="1EC8DFB4" w14:textId="09379357" w:rsidR="004A6F36" w:rsidRPr="00396CDF" w:rsidRDefault="00773CE9" w:rsidP="0098085E">
      <w:pPr>
        <w:rPr>
          <w:rFonts w:ascii="Times New Roman" w:hAnsi="Times New Roman" w:cs="Times New Roman"/>
        </w:rPr>
      </w:pPr>
      <w:r w:rsidRPr="00396CDF">
        <w:rPr>
          <w:rFonts w:ascii="Times New Roman" w:hAnsi="Times New Roman" w:cs="Times New Roman"/>
        </w:rPr>
        <w:t xml:space="preserve">The second phase of the study is an extension of Phase One </w:t>
      </w:r>
      <w:r w:rsidR="00E22371" w:rsidRPr="00396CDF">
        <w:rPr>
          <w:rFonts w:ascii="Times New Roman" w:hAnsi="Times New Roman" w:cs="Times New Roman"/>
        </w:rPr>
        <w:t xml:space="preserve">that </w:t>
      </w:r>
      <w:r w:rsidR="004A6F36" w:rsidRPr="00396CDF">
        <w:rPr>
          <w:rFonts w:ascii="Times New Roman" w:hAnsi="Times New Roman" w:cs="Times New Roman"/>
        </w:rPr>
        <w:t>will replicate</w:t>
      </w:r>
      <w:r w:rsidR="00E22371" w:rsidRPr="00396CDF">
        <w:rPr>
          <w:rFonts w:ascii="Times New Roman" w:hAnsi="Times New Roman" w:cs="Times New Roman"/>
        </w:rPr>
        <w:t xml:space="preserve"> the quantitative study</w:t>
      </w:r>
      <w:r w:rsidR="00AE20F9" w:rsidRPr="00396CDF">
        <w:rPr>
          <w:rFonts w:ascii="Times New Roman" w:hAnsi="Times New Roman" w:cs="Times New Roman"/>
        </w:rPr>
        <w:t xml:space="preserve"> previously articulated but using a prospective sample. </w:t>
      </w:r>
      <w:r w:rsidR="00F26D39" w:rsidRPr="00396CDF">
        <w:rPr>
          <w:rFonts w:ascii="Times New Roman" w:hAnsi="Times New Roman" w:cs="Times New Roman"/>
        </w:rPr>
        <w:t xml:space="preserve">The sample </w:t>
      </w:r>
      <w:r w:rsidR="000819D6" w:rsidRPr="00396CDF">
        <w:rPr>
          <w:rFonts w:ascii="Times New Roman" w:hAnsi="Times New Roman" w:cs="Times New Roman"/>
        </w:rPr>
        <w:t xml:space="preserve">will include high school students who matriculate into their junior year in fall 2014 and follow these students through their first year of college and into fall 2017. Similar to Phase One of the study, this longitudinal study will seek to determine the short-term outcomes of concurrent enrollment students relative to a comparison group of non-concurrent enrollment students using quasi-experimental methods. In this way, the study will be able to measure the effect of quality concurrent enrollment and reflect the continuous growth and maturation of quality concurrent enrollment programs participating in the study.  </w:t>
      </w:r>
    </w:p>
    <w:p w14:paraId="0C2AD6D6" w14:textId="77777777" w:rsidR="000819D6" w:rsidRPr="00396CDF" w:rsidRDefault="000819D6" w:rsidP="0098085E">
      <w:pPr>
        <w:rPr>
          <w:rFonts w:ascii="Times New Roman" w:hAnsi="Times New Roman" w:cs="Times New Roman"/>
        </w:rPr>
      </w:pPr>
    </w:p>
    <w:p w14:paraId="1A309CB8" w14:textId="3606A4B6" w:rsidR="000819D6" w:rsidRPr="00396CDF" w:rsidRDefault="000819D6" w:rsidP="0098085E">
      <w:pPr>
        <w:rPr>
          <w:rFonts w:ascii="Times New Roman" w:hAnsi="Times New Roman" w:cs="Times New Roman"/>
        </w:rPr>
      </w:pPr>
      <w:r w:rsidRPr="00396CDF">
        <w:rPr>
          <w:rFonts w:ascii="Times New Roman" w:hAnsi="Times New Roman" w:cs="Times New Roman"/>
        </w:rPr>
        <w:t xml:space="preserve">Beyond providing a more current portrait of student outcomes than the retrospective study, Phase Two has additional advantages of collecting real-time data elements as high school students participate in concurrent enrollment. This phase of the study will seek to capture </w:t>
      </w:r>
      <w:proofErr w:type="gramStart"/>
      <w:r w:rsidRPr="00396CDF">
        <w:rPr>
          <w:rFonts w:ascii="Times New Roman" w:hAnsi="Times New Roman" w:cs="Times New Roman"/>
        </w:rPr>
        <w:t>psycho-social</w:t>
      </w:r>
      <w:proofErr w:type="gramEnd"/>
      <w:r w:rsidRPr="00396CDF">
        <w:rPr>
          <w:rFonts w:ascii="Times New Roman" w:hAnsi="Times New Roman" w:cs="Times New Roman"/>
        </w:rPr>
        <w:t xml:space="preserve"> </w:t>
      </w:r>
      <w:r w:rsidR="004810BA" w:rsidRPr="00396CDF">
        <w:rPr>
          <w:rFonts w:ascii="Times New Roman" w:hAnsi="Times New Roman" w:cs="Times New Roman"/>
        </w:rPr>
        <w:t xml:space="preserve">and behavioral </w:t>
      </w:r>
      <w:r w:rsidRPr="00396CDF">
        <w:rPr>
          <w:rFonts w:ascii="Times New Roman" w:hAnsi="Times New Roman" w:cs="Times New Roman"/>
        </w:rPr>
        <w:t xml:space="preserve">dimensions by randomly surveying concurrent enrollment and non-concurrent enrollment students </w:t>
      </w:r>
      <w:r w:rsidR="00D822FF" w:rsidRPr="00396CDF">
        <w:rPr>
          <w:rFonts w:ascii="Times New Roman" w:hAnsi="Times New Roman" w:cs="Times New Roman"/>
        </w:rPr>
        <w:t xml:space="preserve">while they are in high school. These survey data points will measure key </w:t>
      </w:r>
      <w:r w:rsidR="00C4168F" w:rsidRPr="00396CDF">
        <w:rPr>
          <w:rFonts w:ascii="Times New Roman" w:hAnsi="Times New Roman" w:cs="Times New Roman"/>
        </w:rPr>
        <w:t xml:space="preserve">psychosocial </w:t>
      </w:r>
      <w:r w:rsidR="004810BA" w:rsidRPr="00396CDF">
        <w:rPr>
          <w:rFonts w:ascii="Times New Roman" w:hAnsi="Times New Roman" w:cs="Times New Roman"/>
        </w:rPr>
        <w:t xml:space="preserve">and behavioral dimensions </w:t>
      </w:r>
      <w:r w:rsidR="00C4168F" w:rsidRPr="00396CDF">
        <w:rPr>
          <w:rFonts w:ascii="Times New Roman" w:hAnsi="Times New Roman" w:cs="Times New Roman"/>
        </w:rPr>
        <w:t xml:space="preserve">associated with college going such </w:t>
      </w:r>
      <w:r w:rsidR="004810BA" w:rsidRPr="00396CDF">
        <w:rPr>
          <w:rFonts w:ascii="Times New Roman" w:hAnsi="Times New Roman" w:cs="Times New Roman"/>
        </w:rPr>
        <w:t xml:space="preserve">as student motivation, college and career aspirations, family and peer influences, ability to pay for college, grit or persistence, student validation, and others. The survey will be developed based on an extensive review of the college readiness and preparation literature. The key purpose of this survey component is twofold: a) to account for mediating factors that may influence students’ post-college </w:t>
      </w:r>
      <w:r w:rsidR="004810BA" w:rsidRPr="00396CDF">
        <w:rPr>
          <w:rFonts w:ascii="Times New Roman" w:hAnsi="Times New Roman" w:cs="Times New Roman"/>
        </w:rPr>
        <w:lastRenderedPageBreak/>
        <w:t xml:space="preserve">outcomes; b) to capture change and growth in psychosocial and behavioral variables based on students’ participation (or non-participation) in concurrent enrollment. Researchers will aim to survey a random sample of high school juniors in fall 2014 as a pre-test (before concurrent enrollment participation) and survey these same students in spring 2016 as a post-test to determine change and growth on these psychosocial and behavioral dimensions. </w:t>
      </w:r>
    </w:p>
    <w:p w14:paraId="37E9A319" w14:textId="77777777" w:rsidR="00D71540" w:rsidRPr="00396CDF" w:rsidRDefault="00D71540" w:rsidP="0098085E">
      <w:pPr>
        <w:rPr>
          <w:rFonts w:ascii="Times New Roman" w:hAnsi="Times New Roman" w:cs="Times New Roman"/>
        </w:rPr>
      </w:pPr>
    </w:p>
    <w:p w14:paraId="1922CCC7" w14:textId="763F3560" w:rsidR="00D71540" w:rsidRPr="00396CDF" w:rsidRDefault="00D71540" w:rsidP="0098085E">
      <w:pPr>
        <w:rPr>
          <w:rFonts w:ascii="Times New Roman" w:hAnsi="Times New Roman" w:cs="Times New Roman"/>
        </w:rPr>
      </w:pPr>
      <w:r w:rsidRPr="00396CDF">
        <w:rPr>
          <w:rFonts w:ascii="Times New Roman" w:hAnsi="Times New Roman" w:cs="Times New Roman"/>
        </w:rPr>
        <w:t xml:space="preserve">The advantage of capturing these psychosocial and behavioral data on students before </w:t>
      </w:r>
      <w:proofErr w:type="gramStart"/>
      <w:r w:rsidRPr="00396CDF">
        <w:rPr>
          <w:rFonts w:ascii="Times New Roman" w:hAnsi="Times New Roman" w:cs="Times New Roman"/>
        </w:rPr>
        <w:t>the participate</w:t>
      </w:r>
      <w:proofErr w:type="gramEnd"/>
      <w:r w:rsidRPr="00396CDF">
        <w:rPr>
          <w:rFonts w:ascii="Times New Roman" w:hAnsi="Times New Roman" w:cs="Times New Roman"/>
        </w:rPr>
        <w:t xml:space="preserve"> in concurrent enrollment is the ability to use these data as variables in the construction of the propensity score, allowing for much more robust models. </w:t>
      </w:r>
    </w:p>
    <w:p w14:paraId="5D4EEBFA" w14:textId="77777777" w:rsidR="00AE20F9" w:rsidRPr="00396CDF" w:rsidRDefault="00AE20F9" w:rsidP="0098085E">
      <w:pPr>
        <w:rPr>
          <w:rFonts w:ascii="Times New Roman" w:hAnsi="Times New Roman" w:cs="Times New Roman"/>
        </w:rPr>
      </w:pPr>
    </w:p>
    <w:p w14:paraId="6362E7BE" w14:textId="53A2D422" w:rsidR="00AE20F9" w:rsidRPr="00396CDF" w:rsidRDefault="00AE20F9" w:rsidP="0098085E">
      <w:pPr>
        <w:rPr>
          <w:rFonts w:ascii="Times New Roman" w:hAnsi="Times New Roman" w:cs="Times New Roman"/>
          <w:b/>
        </w:rPr>
      </w:pPr>
      <w:proofErr w:type="gramStart"/>
      <w:r w:rsidRPr="00396CDF">
        <w:rPr>
          <w:rFonts w:ascii="Times New Roman" w:hAnsi="Times New Roman" w:cs="Times New Roman"/>
          <w:b/>
        </w:rPr>
        <w:t>Case Study Research.</w:t>
      </w:r>
      <w:proofErr w:type="gramEnd"/>
      <w:r w:rsidRPr="00396CDF">
        <w:rPr>
          <w:rFonts w:ascii="Times New Roman" w:hAnsi="Times New Roman" w:cs="Times New Roman"/>
          <w:b/>
        </w:rPr>
        <w:t xml:space="preserve"> </w:t>
      </w:r>
      <w:r w:rsidR="00E22371" w:rsidRPr="00396CDF">
        <w:rPr>
          <w:rFonts w:ascii="Times New Roman" w:hAnsi="Times New Roman" w:cs="Times New Roman"/>
        </w:rPr>
        <w:t>In addition</w:t>
      </w:r>
      <w:r w:rsidRPr="00396CDF">
        <w:rPr>
          <w:rFonts w:ascii="Times New Roman" w:hAnsi="Times New Roman" w:cs="Times New Roman"/>
        </w:rPr>
        <w:t xml:space="preserve"> to the quantitative study</w:t>
      </w:r>
      <w:r w:rsidR="00E22371" w:rsidRPr="00396CDF">
        <w:rPr>
          <w:rFonts w:ascii="Times New Roman" w:hAnsi="Times New Roman" w:cs="Times New Roman"/>
        </w:rPr>
        <w:t xml:space="preserve">, a multiple case study approach (Yin, 2009) will </w:t>
      </w:r>
      <w:r w:rsidRPr="00396CDF">
        <w:rPr>
          <w:rFonts w:ascii="Times New Roman" w:hAnsi="Times New Roman" w:cs="Times New Roman"/>
        </w:rPr>
        <w:t xml:space="preserve">be used </w:t>
      </w:r>
      <w:r w:rsidR="00E22371" w:rsidRPr="00396CDF">
        <w:rPr>
          <w:rFonts w:ascii="Times New Roman" w:hAnsi="Times New Roman" w:cs="Times New Roman"/>
        </w:rPr>
        <w:t xml:space="preserve">to examine the nature of </w:t>
      </w:r>
      <w:r w:rsidRPr="00396CDF">
        <w:rPr>
          <w:rFonts w:ascii="Times New Roman" w:hAnsi="Times New Roman" w:cs="Times New Roman"/>
        </w:rPr>
        <w:t>‘</w:t>
      </w:r>
      <w:r w:rsidR="00E22371" w:rsidRPr="00396CDF">
        <w:rPr>
          <w:rFonts w:ascii="Times New Roman" w:hAnsi="Times New Roman" w:cs="Times New Roman"/>
        </w:rPr>
        <w:t>quality</w:t>
      </w:r>
      <w:r w:rsidRPr="00396CDF">
        <w:rPr>
          <w:rFonts w:ascii="Times New Roman" w:hAnsi="Times New Roman" w:cs="Times New Roman"/>
        </w:rPr>
        <w:t>’</w:t>
      </w:r>
      <w:r w:rsidR="00E22371" w:rsidRPr="00396CDF">
        <w:rPr>
          <w:rFonts w:ascii="Times New Roman" w:hAnsi="Times New Roman" w:cs="Times New Roman"/>
        </w:rPr>
        <w:t xml:space="preserve"> as it relates to the NACEP accreditation process</w:t>
      </w:r>
      <w:r w:rsidRPr="00396CDF">
        <w:rPr>
          <w:rFonts w:ascii="Times New Roman" w:hAnsi="Times New Roman" w:cs="Times New Roman"/>
        </w:rPr>
        <w:t xml:space="preserve"> and concurrent enrollment courses</w:t>
      </w:r>
      <w:r w:rsidR="00E22371" w:rsidRPr="00396CDF">
        <w:rPr>
          <w:rFonts w:ascii="Times New Roman" w:hAnsi="Times New Roman" w:cs="Times New Roman"/>
        </w:rPr>
        <w:t xml:space="preserve">. The purpose of the qualitative research is explanatory (Yin, 2009) in that it seeks to provide an explanation for the anticipated quantitative results.  The research question driving the case study research is: In what ways and to what </w:t>
      </w:r>
      <w:r w:rsidR="003E443D" w:rsidRPr="00396CDF">
        <w:rPr>
          <w:rFonts w:ascii="Times New Roman" w:hAnsi="Times New Roman" w:cs="Times New Roman"/>
        </w:rPr>
        <w:t xml:space="preserve">extent is </w:t>
      </w:r>
      <w:r w:rsidR="00F04A45" w:rsidRPr="00396CDF">
        <w:rPr>
          <w:rFonts w:ascii="Times New Roman" w:hAnsi="Times New Roman" w:cs="Times New Roman"/>
        </w:rPr>
        <w:t>“</w:t>
      </w:r>
      <w:r w:rsidR="003E443D" w:rsidRPr="00396CDF">
        <w:rPr>
          <w:rFonts w:ascii="Times New Roman" w:hAnsi="Times New Roman" w:cs="Times New Roman"/>
        </w:rPr>
        <w:t>quality</w:t>
      </w:r>
      <w:r w:rsidR="00F04A45" w:rsidRPr="00396CDF">
        <w:rPr>
          <w:rFonts w:ascii="Times New Roman" w:hAnsi="Times New Roman" w:cs="Times New Roman"/>
        </w:rPr>
        <w:t>”</w:t>
      </w:r>
      <w:r w:rsidR="003E443D" w:rsidRPr="00396CDF">
        <w:rPr>
          <w:rFonts w:ascii="Times New Roman" w:hAnsi="Times New Roman" w:cs="Times New Roman"/>
        </w:rPr>
        <w:t xml:space="preserve"> manifested in the NACEP accreditation standards and process and how does quality concurrent enrollment influence students?</w:t>
      </w:r>
    </w:p>
    <w:p w14:paraId="4A6326FF" w14:textId="77777777" w:rsidR="003E443D" w:rsidRPr="00396CDF" w:rsidRDefault="003E443D" w:rsidP="0098085E">
      <w:pPr>
        <w:rPr>
          <w:rFonts w:ascii="Times New Roman" w:hAnsi="Times New Roman" w:cs="Times New Roman"/>
        </w:rPr>
      </w:pPr>
    </w:p>
    <w:p w14:paraId="2221A7E1" w14:textId="22D4DA0B" w:rsidR="00D31DC6" w:rsidRPr="00396CDF" w:rsidRDefault="00D31DC6" w:rsidP="00D31DC6">
      <w:pPr>
        <w:rPr>
          <w:rFonts w:ascii="Times New Roman" w:hAnsi="Times New Roman" w:cs="Times New Roman"/>
        </w:rPr>
      </w:pPr>
      <w:proofErr w:type="gramStart"/>
      <w:r w:rsidRPr="00396CDF">
        <w:rPr>
          <w:rFonts w:ascii="Times New Roman" w:hAnsi="Times New Roman" w:cs="Times New Roman"/>
          <w:b/>
          <w:i/>
        </w:rPr>
        <w:t>Sample and Data Collection</w:t>
      </w:r>
      <w:r w:rsidRPr="00396CDF">
        <w:rPr>
          <w:rFonts w:ascii="Times New Roman" w:hAnsi="Times New Roman" w:cs="Times New Roman"/>
          <w:b/>
        </w:rPr>
        <w:t>.</w:t>
      </w:r>
      <w:proofErr w:type="gramEnd"/>
      <w:r w:rsidRPr="00396CDF">
        <w:rPr>
          <w:rFonts w:ascii="Times New Roman" w:hAnsi="Times New Roman" w:cs="Times New Roman"/>
        </w:rPr>
        <w:t xml:space="preserve"> </w:t>
      </w:r>
      <w:r w:rsidR="00F04A45" w:rsidRPr="00396CDF">
        <w:rPr>
          <w:rFonts w:ascii="Times New Roman" w:hAnsi="Times New Roman" w:cs="Times New Roman"/>
        </w:rPr>
        <w:t xml:space="preserve">The research question will be answered by identifying two institutions to participate in an in-depth qualitative case study research. These institutions will be purposefully selected based on recommendations from NACEP, institution’s history with the accreditation process, and institution’s willingness to participate. </w:t>
      </w:r>
    </w:p>
    <w:p w14:paraId="21287880" w14:textId="77777777" w:rsidR="00D31DC6" w:rsidRPr="00396CDF" w:rsidRDefault="00D31DC6" w:rsidP="00D31DC6">
      <w:pPr>
        <w:rPr>
          <w:rFonts w:ascii="Times New Roman" w:hAnsi="Times New Roman" w:cs="Times New Roman"/>
        </w:rPr>
      </w:pPr>
    </w:p>
    <w:p w14:paraId="28A39A20" w14:textId="11BEFA80" w:rsidR="00D31DC6" w:rsidRPr="00396CDF" w:rsidRDefault="00D31DC6" w:rsidP="00D31DC6">
      <w:pPr>
        <w:rPr>
          <w:rFonts w:ascii="Times New Roman" w:hAnsi="Times New Roman" w:cs="Times New Roman"/>
        </w:rPr>
      </w:pPr>
      <w:r w:rsidRPr="00396CDF">
        <w:rPr>
          <w:rFonts w:ascii="Times New Roman" w:hAnsi="Times New Roman" w:cs="Times New Roman"/>
        </w:rPr>
        <w:t>Data will be collected primarily through in-depth site visits to the participating colleges and partner high schools where interviews, focus groups, nonparticipant observations</w:t>
      </w:r>
      <w:r w:rsidR="00FD1FF2" w:rsidRPr="00396CDF">
        <w:rPr>
          <w:rFonts w:ascii="Times New Roman" w:hAnsi="Times New Roman" w:cs="Times New Roman"/>
        </w:rPr>
        <w:t>, and document analysis</w:t>
      </w:r>
      <w:r w:rsidRPr="00396CDF">
        <w:rPr>
          <w:rFonts w:ascii="Times New Roman" w:hAnsi="Times New Roman" w:cs="Times New Roman"/>
        </w:rPr>
        <w:t xml:space="preserve"> will be conducted. Interviews will be conducted with key concurrent enrollment stakeholders including but not limited to concurrent enrollment coordinators (secondary and/or postsecondary), concurrent enrollment faculty, college leaders (President, Provost), high school leaders (Principal, Curriculum Instructors), </w:t>
      </w:r>
      <w:r w:rsidR="00EC21ED" w:rsidRPr="00396CDF">
        <w:rPr>
          <w:rFonts w:ascii="Times New Roman" w:hAnsi="Times New Roman" w:cs="Times New Roman"/>
        </w:rPr>
        <w:t xml:space="preserve">and concurrent enrollment students. </w:t>
      </w:r>
    </w:p>
    <w:p w14:paraId="5D867DEE" w14:textId="77777777" w:rsidR="002C3E9D" w:rsidRPr="00396CDF" w:rsidRDefault="002C3E9D" w:rsidP="00D31DC6">
      <w:pPr>
        <w:rPr>
          <w:rFonts w:ascii="Times New Roman" w:hAnsi="Times New Roman" w:cs="Times New Roman"/>
        </w:rPr>
      </w:pPr>
    </w:p>
    <w:p w14:paraId="0B99FB17" w14:textId="20D35C1D" w:rsidR="002C3E9D" w:rsidRPr="00396CDF" w:rsidRDefault="002C3E9D" w:rsidP="00D31DC6">
      <w:pPr>
        <w:rPr>
          <w:rFonts w:ascii="Times New Roman" w:hAnsi="Times New Roman" w:cs="Times New Roman"/>
        </w:rPr>
      </w:pPr>
      <w:r w:rsidRPr="00396CDF">
        <w:rPr>
          <w:rFonts w:ascii="Times New Roman" w:hAnsi="Times New Roman" w:cs="Times New Roman"/>
        </w:rPr>
        <w:t xml:space="preserve">Interview and observation protocols will be developed to align with NACEP’s quality standards: </w:t>
      </w:r>
      <w:r w:rsidR="00FD1FF2" w:rsidRPr="00396CDF">
        <w:rPr>
          <w:rFonts w:ascii="Times New Roman" w:hAnsi="Times New Roman" w:cs="Times New Roman"/>
        </w:rPr>
        <w:t xml:space="preserve">curriculum, faculty, students, assessment, and evaluation. Data collection will seek to </w:t>
      </w:r>
      <w:r w:rsidR="00275CC5" w:rsidRPr="00396CDF">
        <w:rPr>
          <w:rFonts w:ascii="Times New Roman" w:hAnsi="Times New Roman" w:cs="Times New Roman"/>
        </w:rPr>
        <w:t xml:space="preserve">unpack </w:t>
      </w:r>
      <w:r w:rsidR="00FD1FF2" w:rsidRPr="00396CDF">
        <w:rPr>
          <w:rFonts w:ascii="Times New Roman" w:hAnsi="Times New Roman" w:cs="Times New Roman"/>
        </w:rPr>
        <w:t xml:space="preserve">what quality means to concurrent enrollment stakeholders and </w:t>
      </w:r>
      <w:r w:rsidR="00275CC5" w:rsidRPr="00396CDF">
        <w:rPr>
          <w:rFonts w:ascii="Times New Roman" w:hAnsi="Times New Roman" w:cs="Times New Roman"/>
        </w:rPr>
        <w:t xml:space="preserve">how the NACEP standards contribute to and influence </w:t>
      </w:r>
      <w:r w:rsidR="00B272B5" w:rsidRPr="00396CDF">
        <w:rPr>
          <w:rFonts w:ascii="Times New Roman" w:hAnsi="Times New Roman" w:cs="Times New Roman"/>
        </w:rPr>
        <w:t xml:space="preserve">not only quality concurrent enrollment programs, </w:t>
      </w:r>
      <w:proofErr w:type="gramStart"/>
      <w:r w:rsidR="00B272B5" w:rsidRPr="00396CDF">
        <w:rPr>
          <w:rFonts w:ascii="Times New Roman" w:hAnsi="Times New Roman" w:cs="Times New Roman"/>
        </w:rPr>
        <w:t>but</w:t>
      </w:r>
      <w:proofErr w:type="gramEnd"/>
      <w:r w:rsidR="00B272B5" w:rsidRPr="00396CDF">
        <w:rPr>
          <w:rFonts w:ascii="Times New Roman" w:hAnsi="Times New Roman" w:cs="Times New Roman"/>
        </w:rPr>
        <w:t xml:space="preserve"> </w:t>
      </w:r>
      <w:r w:rsidR="00275CC5" w:rsidRPr="00396CDF">
        <w:rPr>
          <w:rFonts w:ascii="Times New Roman" w:hAnsi="Times New Roman" w:cs="Times New Roman"/>
        </w:rPr>
        <w:t>st</w:t>
      </w:r>
      <w:r w:rsidR="00B272B5" w:rsidRPr="00396CDF">
        <w:rPr>
          <w:rFonts w:ascii="Times New Roman" w:hAnsi="Times New Roman" w:cs="Times New Roman"/>
        </w:rPr>
        <w:t>udent development and outcomes. This study aims to provide a conceptual link between quality and improved student experience and outcomes</w:t>
      </w:r>
      <w:r w:rsidR="00637AE3" w:rsidRPr="00396CDF">
        <w:rPr>
          <w:rFonts w:ascii="Times New Roman" w:hAnsi="Times New Roman" w:cs="Times New Roman"/>
        </w:rPr>
        <w:t xml:space="preserve"> to explain the quantitative hypotheses</w:t>
      </w:r>
      <w:r w:rsidR="00B272B5" w:rsidRPr="00396CDF">
        <w:rPr>
          <w:rFonts w:ascii="Times New Roman" w:hAnsi="Times New Roman" w:cs="Times New Roman"/>
        </w:rPr>
        <w:t xml:space="preserve">. </w:t>
      </w:r>
    </w:p>
    <w:p w14:paraId="2DBA59A6" w14:textId="77777777" w:rsidR="00961846" w:rsidRPr="00396CDF" w:rsidRDefault="00961846" w:rsidP="0098085E">
      <w:pPr>
        <w:rPr>
          <w:rFonts w:ascii="Times New Roman" w:hAnsi="Times New Roman" w:cs="Times New Roman"/>
        </w:rPr>
      </w:pPr>
    </w:p>
    <w:p w14:paraId="6806C602" w14:textId="3F70C4BA" w:rsidR="00F04A45" w:rsidRPr="00396CDF" w:rsidRDefault="001B49CB" w:rsidP="0069352C">
      <w:pPr>
        <w:jc w:val="center"/>
        <w:rPr>
          <w:rFonts w:ascii="Times New Roman" w:hAnsi="Times New Roman" w:cs="Times New Roman"/>
          <w:b/>
        </w:rPr>
      </w:pPr>
      <w:r w:rsidRPr="00396CDF">
        <w:rPr>
          <w:rFonts w:ascii="Times New Roman" w:hAnsi="Times New Roman" w:cs="Times New Roman"/>
          <w:b/>
        </w:rPr>
        <w:t>ACTIVITIES AND TIMELINE</w:t>
      </w:r>
    </w:p>
    <w:p w14:paraId="66E72832" w14:textId="5ABD9EE1" w:rsidR="00F04A45" w:rsidRPr="00396CDF" w:rsidRDefault="00F04A45" w:rsidP="0098085E">
      <w:pPr>
        <w:rPr>
          <w:rFonts w:ascii="Times New Roman" w:hAnsi="Times New Roman" w:cs="Times New Roman"/>
        </w:rPr>
      </w:pPr>
      <w:r w:rsidRPr="00396CDF">
        <w:rPr>
          <w:rFonts w:ascii="Times New Roman" w:hAnsi="Times New Roman" w:cs="Times New Roman"/>
        </w:rPr>
        <w:t xml:space="preserve">The timeline for the research activities associated with this study are presented in Table 4 </w:t>
      </w:r>
      <w:r w:rsidR="0069352C" w:rsidRPr="00396CDF">
        <w:rPr>
          <w:rFonts w:ascii="Times New Roman" w:hAnsi="Times New Roman" w:cs="Times New Roman"/>
        </w:rPr>
        <w:t xml:space="preserve">and includes </w:t>
      </w:r>
      <w:r w:rsidR="009F4C0C" w:rsidRPr="00396CDF">
        <w:rPr>
          <w:rFonts w:ascii="Times New Roman" w:hAnsi="Times New Roman" w:cs="Times New Roman"/>
        </w:rPr>
        <w:t>only data collection and reporting activities</w:t>
      </w:r>
      <w:r w:rsidR="0069352C" w:rsidRPr="00396CDF">
        <w:rPr>
          <w:rFonts w:ascii="Times New Roman" w:hAnsi="Times New Roman" w:cs="Times New Roman"/>
        </w:rPr>
        <w:t xml:space="preserve">. </w:t>
      </w:r>
      <w:r w:rsidR="009F4C0C" w:rsidRPr="00396CDF">
        <w:rPr>
          <w:rFonts w:ascii="Times New Roman" w:hAnsi="Times New Roman" w:cs="Times New Roman"/>
        </w:rPr>
        <w:t xml:space="preserve">The timeline assumes that funding is secured in Spring 2014 and the research begins ~May 2014. </w:t>
      </w:r>
    </w:p>
    <w:p w14:paraId="44B21F13" w14:textId="77777777" w:rsidR="00F04A45" w:rsidRPr="00396CDF" w:rsidRDefault="00F04A45" w:rsidP="0098085E">
      <w:pPr>
        <w:rPr>
          <w:rFonts w:ascii="Times New Roman" w:hAnsi="Times New Roman" w:cs="Times New Roman"/>
        </w:rPr>
      </w:pPr>
    </w:p>
    <w:p w14:paraId="3CC6755A" w14:textId="77777777" w:rsidR="001B49CB" w:rsidRPr="00396CDF" w:rsidRDefault="00961846" w:rsidP="0098085E">
      <w:pPr>
        <w:rPr>
          <w:rFonts w:ascii="Times New Roman" w:hAnsi="Times New Roman" w:cs="Times New Roman"/>
        </w:rPr>
      </w:pPr>
      <w:r w:rsidRPr="00396CDF">
        <w:rPr>
          <w:rFonts w:ascii="Times New Roman" w:hAnsi="Times New Roman" w:cs="Times New Roman"/>
        </w:rPr>
        <w:t xml:space="preserve">Table </w:t>
      </w:r>
      <w:r w:rsidR="001B49CB" w:rsidRPr="00396CDF">
        <w:rPr>
          <w:rFonts w:ascii="Times New Roman" w:hAnsi="Times New Roman" w:cs="Times New Roman"/>
        </w:rPr>
        <w:t>4</w:t>
      </w:r>
    </w:p>
    <w:p w14:paraId="2C24C1FB" w14:textId="2490E386" w:rsidR="00961846" w:rsidRPr="00396CDF" w:rsidRDefault="00BF364E" w:rsidP="0098085E">
      <w:pPr>
        <w:rPr>
          <w:rFonts w:ascii="Times New Roman" w:hAnsi="Times New Roman" w:cs="Times New Roman"/>
        </w:rPr>
      </w:pPr>
      <w:r w:rsidRPr="00396CDF">
        <w:rPr>
          <w:rFonts w:ascii="Times New Roman" w:hAnsi="Times New Roman" w:cs="Times New Roman"/>
        </w:rPr>
        <w:t>Activities and Timeline</w:t>
      </w:r>
    </w:p>
    <w:tbl>
      <w:tblPr>
        <w:tblStyle w:val="TableGrid"/>
        <w:tblW w:w="0" w:type="auto"/>
        <w:tblLook w:val="04A0" w:firstRow="1" w:lastRow="0" w:firstColumn="1" w:lastColumn="0" w:noHBand="0" w:noVBand="1"/>
      </w:tblPr>
      <w:tblGrid>
        <w:gridCol w:w="2988"/>
        <w:gridCol w:w="5868"/>
      </w:tblGrid>
      <w:tr w:rsidR="00961846" w:rsidRPr="00396CDF" w14:paraId="2B6C12E1" w14:textId="77777777" w:rsidTr="00B272B5">
        <w:tc>
          <w:tcPr>
            <w:tcW w:w="2988" w:type="dxa"/>
            <w:shd w:val="clear" w:color="auto" w:fill="A6A6A6" w:themeFill="background1" w:themeFillShade="A6"/>
          </w:tcPr>
          <w:p w14:paraId="710A10BB" w14:textId="75E7B545" w:rsidR="00961846" w:rsidRPr="00396CDF" w:rsidRDefault="009F4C0C" w:rsidP="0098085E">
            <w:pPr>
              <w:rPr>
                <w:rFonts w:ascii="Times New Roman" w:hAnsi="Times New Roman" w:cs="Times New Roman"/>
                <w:b/>
              </w:rPr>
            </w:pPr>
            <w:r w:rsidRPr="00396CDF">
              <w:rPr>
                <w:rFonts w:ascii="Times New Roman" w:hAnsi="Times New Roman" w:cs="Times New Roman"/>
                <w:b/>
              </w:rPr>
              <w:t>Timeline</w:t>
            </w:r>
          </w:p>
        </w:tc>
        <w:tc>
          <w:tcPr>
            <w:tcW w:w="5868" w:type="dxa"/>
            <w:shd w:val="clear" w:color="auto" w:fill="A6A6A6" w:themeFill="background1" w:themeFillShade="A6"/>
          </w:tcPr>
          <w:p w14:paraId="2A30C115" w14:textId="55221831" w:rsidR="00961846" w:rsidRPr="00396CDF" w:rsidRDefault="009F4C0C" w:rsidP="0098085E">
            <w:pPr>
              <w:rPr>
                <w:rFonts w:ascii="Times New Roman" w:hAnsi="Times New Roman" w:cs="Times New Roman"/>
                <w:b/>
              </w:rPr>
            </w:pPr>
            <w:r w:rsidRPr="00396CDF">
              <w:rPr>
                <w:rFonts w:ascii="Times New Roman" w:hAnsi="Times New Roman" w:cs="Times New Roman"/>
                <w:b/>
              </w:rPr>
              <w:t>Activity</w:t>
            </w:r>
          </w:p>
        </w:tc>
      </w:tr>
      <w:tr w:rsidR="00961846" w:rsidRPr="00396CDF" w14:paraId="16477011" w14:textId="77777777" w:rsidTr="009F4C0C">
        <w:tc>
          <w:tcPr>
            <w:tcW w:w="2988" w:type="dxa"/>
          </w:tcPr>
          <w:p w14:paraId="6C1D09D1" w14:textId="3B72ECC9" w:rsidR="00961846" w:rsidRPr="00396CDF" w:rsidRDefault="009F4C0C" w:rsidP="0098085E">
            <w:pPr>
              <w:rPr>
                <w:rFonts w:ascii="Times New Roman" w:hAnsi="Times New Roman" w:cs="Times New Roman"/>
              </w:rPr>
            </w:pPr>
            <w:r w:rsidRPr="00396CDF">
              <w:rPr>
                <w:rFonts w:ascii="Times New Roman" w:hAnsi="Times New Roman" w:cs="Times New Roman"/>
              </w:rPr>
              <w:t>May 2014</w:t>
            </w:r>
          </w:p>
        </w:tc>
        <w:tc>
          <w:tcPr>
            <w:tcW w:w="5868" w:type="dxa"/>
          </w:tcPr>
          <w:p w14:paraId="310E8D17" w14:textId="723B0865" w:rsidR="00961846" w:rsidRPr="00396CDF" w:rsidRDefault="009F4C0C" w:rsidP="009F4C0C">
            <w:pPr>
              <w:rPr>
                <w:rFonts w:ascii="Times New Roman" w:hAnsi="Times New Roman" w:cs="Times New Roman"/>
              </w:rPr>
            </w:pPr>
            <w:r w:rsidRPr="00396CDF">
              <w:rPr>
                <w:rFonts w:ascii="Times New Roman" w:hAnsi="Times New Roman" w:cs="Times New Roman"/>
              </w:rPr>
              <w:t xml:space="preserve">Researchers conduct </w:t>
            </w:r>
            <w:r w:rsidR="00C84CA3" w:rsidRPr="00396CDF">
              <w:rPr>
                <w:rFonts w:ascii="Times New Roman" w:hAnsi="Times New Roman" w:cs="Times New Roman"/>
              </w:rPr>
              <w:t xml:space="preserve">introductory </w:t>
            </w:r>
            <w:r w:rsidRPr="00396CDF">
              <w:rPr>
                <w:rFonts w:ascii="Times New Roman" w:hAnsi="Times New Roman" w:cs="Times New Roman"/>
              </w:rPr>
              <w:t>webinars and phone calls with institution program and data personnel to review scope of project and timelines</w:t>
            </w:r>
          </w:p>
        </w:tc>
      </w:tr>
      <w:tr w:rsidR="00B272B5" w:rsidRPr="00396CDF" w14:paraId="23C78C66" w14:textId="77777777" w:rsidTr="00BA14A9">
        <w:tc>
          <w:tcPr>
            <w:tcW w:w="8856" w:type="dxa"/>
            <w:gridSpan w:val="2"/>
          </w:tcPr>
          <w:p w14:paraId="020F65F8" w14:textId="764DEB6B" w:rsidR="00B272B5" w:rsidRPr="00396CDF" w:rsidRDefault="00B272B5" w:rsidP="0098085E">
            <w:pPr>
              <w:rPr>
                <w:rFonts w:ascii="Times New Roman" w:hAnsi="Times New Roman" w:cs="Times New Roman"/>
              </w:rPr>
            </w:pPr>
            <w:r w:rsidRPr="00396CDF">
              <w:rPr>
                <w:rFonts w:ascii="Times New Roman" w:hAnsi="Times New Roman" w:cs="Times New Roman"/>
                <w:b/>
              </w:rPr>
              <w:t>Phase One</w:t>
            </w:r>
          </w:p>
        </w:tc>
      </w:tr>
      <w:tr w:rsidR="00961846" w:rsidRPr="00396CDF" w14:paraId="6E9876DE" w14:textId="77777777" w:rsidTr="009F4C0C">
        <w:tc>
          <w:tcPr>
            <w:tcW w:w="2988" w:type="dxa"/>
          </w:tcPr>
          <w:p w14:paraId="3961EC77" w14:textId="546BAABF" w:rsidR="00961846" w:rsidRPr="00396CDF" w:rsidRDefault="00B272B5" w:rsidP="0098085E">
            <w:pPr>
              <w:rPr>
                <w:rFonts w:ascii="Times New Roman" w:hAnsi="Times New Roman" w:cs="Times New Roman"/>
              </w:rPr>
            </w:pPr>
            <w:r w:rsidRPr="00396CDF">
              <w:rPr>
                <w:rFonts w:ascii="Times New Roman" w:hAnsi="Times New Roman" w:cs="Times New Roman"/>
              </w:rPr>
              <w:t>May-June</w:t>
            </w:r>
            <w:r w:rsidR="009F4C0C" w:rsidRPr="00396CDF">
              <w:rPr>
                <w:rFonts w:ascii="Times New Roman" w:hAnsi="Times New Roman" w:cs="Times New Roman"/>
              </w:rPr>
              <w:t xml:space="preserve"> 2014</w:t>
            </w:r>
          </w:p>
        </w:tc>
        <w:tc>
          <w:tcPr>
            <w:tcW w:w="5868" w:type="dxa"/>
          </w:tcPr>
          <w:p w14:paraId="7CB95FAD" w14:textId="229F2DB8" w:rsidR="00961846" w:rsidRPr="00396CDF" w:rsidRDefault="009F4C0C" w:rsidP="00B272B5">
            <w:pPr>
              <w:rPr>
                <w:rFonts w:ascii="Times New Roman" w:hAnsi="Times New Roman" w:cs="Times New Roman"/>
              </w:rPr>
            </w:pPr>
            <w:r w:rsidRPr="00396CDF">
              <w:rPr>
                <w:rFonts w:ascii="Times New Roman" w:hAnsi="Times New Roman" w:cs="Times New Roman"/>
              </w:rPr>
              <w:t>Researchers</w:t>
            </w:r>
            <w:r w:rsidR="00B272B5" w:rsidRPr="00396CDF">
              <w:rPr>
                <w:rFonts w:ascii="Times New Roman" w:hAnsi="Times New Roman" w:cs="Times New Roman"/>
              </w:rPr>
              <w:t xml:space="preserve"> establish MOUs and </w:t>
            </w:r>
            <w:r w:rsidRPr="00396CDF">
              <w:rPr>
                <w:rFonts w:ascii="Times New Roman" w:hAnsi="Times New Roman" w:cs="Times New Roman"/>
              </w:rPr>
              <w:t>send data request to institutions and agencies</w:t>
            </w:r>
            <w:r w:rsidR="00B272B5" w:rsidRPr="00396CDF">
              <w:rPr>
                <w:rFonts w:ascii="Times New Roman" w:hAnsi="Times New Roman" w:cs="Times New Roman"/>
              </w:rPr>
              <w:t xml:space="preserve">. Researchers provide support to institutions on data elements and data collection as needed. </w:t>
            </w:r>
          </w:p>
        </w:tc>
      </w:tr>
      <w:tr w:rsidR="00961846" w:rsidRPr="00396CDF" w14:paraId="1618C9F6" w14:textId="77777777" w:rsidTr="009F4C0C">
        <w:tc>
          <w:tcPr>
            <w:tcW w:w="2988" w:type="dxa"/>
          </w:tcPr>
          <w:p w14:paraId="6A1508C6" w14:textId="639055DF" w:rsidR="00961846" w:rsidRPr="00396CDF" w:rsidRDefault="00B272B5" w:rsidP="0098085E">
            <w:pPr>
              <w:rPr>
                <w:rFonts w:ascii="Times New Roman" w:hAnsi="Times New Roman" w:cs="Times New Roman"/>
              </w:rPr>
            </w:pPr>
            <w:r w:rsidRPr="00396CDF">
              <w:rPr>
                <w:rFonts w:ascii="Times New Roman" w:hAnsi="Times New Roman" w:cs="Times New Roman"/>
              </w:rPr>
              <w:t>September 2014</w:t>
            </w:r>
          </w:p>
        </w:tc>
        <w:tc>
          <w:tcPr>
            <w:tcW w:w="5868" w:type="dxa"/>
          </w:tcPr>
          <w:p w14:paraId="43FE83F3" w14:textId="5852BF81" w:rsidR="00961846" w:rsidRPr="00396CDF" w:rsidRDefault="00B272B5" w:rsidP="0098085E">
            <w:pPr>
              <w:rPr>
                <w:rFonts w:ascii="Times New Roman" w:hAnsi="Times New Roman" w:cs="Times New Roman"/>
              </w:rPr>
            </w:pPr>
            <w:r w:rsidRPr="00396CDF">
              <w:rPr>
                <w:rFonts w:ascii="Times New Roman" w:hAnsi="Times New Roman" w:cs="Times New Roman"/>
              </w:rPr>
              <w:t>Institutions submit Phase One data to researchers</w:t>
            </w:r>
          </w:p>
        </w:tc>
      </w:tr>
      <w:tr w:rsidR="00B272B5" w:rsidRPr="00396CDF" w14:paraId="1CA6AF07" w14:textId="77777777" w:rsidTr="009F4C0C">
        <w:tc>
          <w:tcPr>
            <w:tcW w:w="2988" w:type="dxa"/>
          </w:tcPr>
          <w:p w14:paraId="01B77657" w14:textId="6861D619" w:rsidR="00B272B5" w:rsidRPr="00396CDF" w:rsidRDefault="00B272B5" w:rsidP="0098085E">
            <w:pPr>
              <w:rPr>
                <w:rFonts w:ascii="Times New Roman" w:hAnsi="Times New Roman" w:cs="Times New Roman"/>
              </w:rPr>
            </w:pPr>
            <w:r w:rsidRPr="00396CDF">
              <w:rPr>
                <w:rFonts w:ascii="Times New Roman" w:hAnsi="Times New Roman" w:cs="Times New Roman"/>
              </w:rPr>
              <w:t>October-December 2014</w:t>
            </w:r>
          </w:p>
        </w:tc>
        <w:tc>
          <w:tcPr>
            <w:tcW w:w="5868" w:type="dxa"/>
          </w:tcPr>
          <w:p w14:paraId="7643A891" w14:textId="643298A0" w:rsidR="00B272B5" w:rsidRPr="00396CDF" w:rsidRDefault="00B272B5" w:rsidP="0098085E">
            <w:pPr>
              <w:rPr>
                <w:rFonts w:ascii="Times New Roman" w:hAnsi="Times New Roman" w:cs="Times New Roman"/>
              </w:rPr>
            </w:pPr>
            <w:r w:rsidRPr="00396CDF">
              <w:rPr>
                <w:rFonts w:ascii="Times New Roman" w:hAnsi="Times New Roman" w:cs="Times New Roman"/>
              </w:rPr>
              <w:t>Phase One Data Analysis</w:t>
            </w:r>
          </w:p>
        </w:tc>
      </w:tr>
      <w:tr w:rsidR="00B272B5" w:rsidRPr="00396CDF" w14:paraId="787176BF" w14:textId="77777777" w:rsidTr="009F4C0C">
        <w:tc>
          <w:tcPr>
            <w:tcW w:w="2988" w:type="dxa"/>
          </w:tcPr>
          <w:p w14:paraId="1BDA3297" w14:textId="04161975" w:rsidR="00B272B5" w:rsidRPr="00396CDF" w:rsidRDefault="00B272B5" w:rsidP="0098085E">
            <w:pPr>
              <w:rPr>
                <w:rFonts w:ascii="Times New Roman" w:hAnsi="Times New Roman" w:cs="Times New Roman"/>
              </w:rPr>
            </w:pPr>
            <w:r w:rsidRPr="00396CDF">
              <w:rPr>
                <w:rFonts w:ascii="Times New Roman" w:hAnsi="Times New Roman" w:cs="Times New Roman"/>
              </w:rPr>
              <w:t>January 2015</w:t>
            </w:r>
          </w:p>
        </w:tc>
        <w:tc>
          <w:tcPr>
            <w:tcW w:w="5868" w:type="dxa"/>
          </w:tcPr>
          <w:p w14:paraId="1CD37D0F" w14:textId="584F3F0E" w:rsidR="00B272B5" w:rsidRPr="00396CDF" w:rsidRDefault="00EE3008" w:rsidP="0098085E">
            <w:pPr>
              <w:rPr>
                <w:rFonts w:ascii="Times New Roman" w:hAnsi="Times New Roman" w:cs="Times New Roman"/>
              </w:rPr>
            </w:pPr>
            <w:r w:rsidRPr="00396CDF">
              <w:rPr>
                <w:rFonts w:ascii="Times New Roman" w:hAnsi="Times New Roman" w:cs="Times New Roman"/>
              </w:rPr>
              <w:t>Phase One Technical Report r</w:t>
            </w:r>
            <w:r w:rsidR="00B272B5" w:rsidRPr="00396CDF">
              <w:rPr>
                <w:rFonts w:ascii="Times New Roman" w:hAnsi="Times New Roman" w:cs="Times New Roman"/>
              </w:rPr>
              <w:t>eleased</w:t>
            </w:r>
          </w:p>
        </w:tc>
      </w:tr>
      <w:tr w:rsidR="00B272B5" w:rsidRPr="00396CDF" w14:paraId="6518970B" w14:textId="77777777" w:rsidTr="00BA14A9">
        <w:tc>
          <w:tcPr>
            <w:tcW w:w="8856" w:type="dxa"/>
            <w:gridSpan w:val="2"/>
          </w:tcPr>
          <w:p w14:paraId="1EDB7B5E" w14:textId="435FA15C" w:rsidR="00B272B5" w:rsidRPr="00396CDF" w:rsidRDefault="00B272B5" w:rsidP="0098085E">
            <w:pPr>
              <w:rPr>
                <w:rFonts w:ascii="Times New Roman" w:hAnsi="Times New Roman" w:cs="Times New Roman"/>
                <w:b/>
              </w:rPr>
            </w:pPr>
            <w:r w:rsidRPr="00396CDF">
              <w:rPr>
                <w:rFonts w:ascii="Times New Roman" w:hAnsi="Times New Roman" w:cs="Times New Roman"/>
                <w:b/>
              </w:rPr>
              <w:t>Phase Two</w:t>
            </w:r>
          </w:p>
        </w:tc>
      </w:tr>
      <w:tr w:rsidR="00961846" w:rsidRPr="00396CDF" w14:paraId="3E4F34C1" w14:textId="77777777" w:rsidTr="009F4C0C">
        <w:tc>
          <w:tcPr>
            <w:tcW w:w="2988" w:type="dxa"/>
          </w:tcPr>
          <w:p w14:paraId="50089D2F" w14:textId="7A9EE9EB" w:rsidR="00961846" w:rsidRPr="00396CDF" w:rsidRDefault="00B272B5" w:rsidP="0098085E">
            <w:pPr>
              <w:rPr>
                <w:rFonts w:ascii="Times New Roman" w:hAnsi="Times New Roman" w:cs="Times New Roman"/>
              </w:rPr>
            </w:pPr>
            <w:r w:rsidRPr="00396CDF">
              <w:rPr>
                <w:rFonts w:ascii="Times New Roman" w:hAnsi="Times New Roman" w:cs="Times New Roman"/>
              </w:rPr>
              <w:t>September 2014</w:t>
            </w:r>
          </w:p>
        </w:tc>
        <w:tc>
          <w:tcPr>
            <w:tcW w:w="5868" w:type="dxa"/>
          </w:tcPr>
          <w:p w14:paraId="75830477" w14:textId="7FF82905" w:rsidR="00961846" w:rsidRPr="00396CDF" w:rsidRDefault="00B272B5" w:rsidP="00B272B5">
            <w:pPr>
              <w:rPr>
                <w:rFonts w:ascii="Times New Roman" w:hAnsi="Times New Roman" w:cs="Times New Roman"/>
              </w:rPr>
            </w:pPr>
            <w:r w:rsidRPr="00396CDF">
              <w:rPr>
                <w:rFonts w:ascii="Times New Roman" w:hAnsi="Times New Roman" w:cs="Times New Roman"/>
              </w:rPr>
              <w:t xml:space="preserve">Researchers administer </w:t>
            </w:r>
            <w:r w:rsidR="000D660E" w:rsidRPr="00396CDF">
              <w:rPr>
                <w:rFonts w:ascii="Times New Roman" w:hAnsi="Times New Roman" w:cs="Times New Roman"/>
              </w:rPr>
              <w:t xml:space="preserve">pre-test </w:t>
            </w:r>
            <w:r w:rsidRPr="00396CDF">
              <w:rPr>
                <w:rFonts w:ascii="Times New Roman" w:hAnsi="Times New Roman" w:cs="Times New Roman"/>
              </w:rPr>
              <w:t xml:space="preserve">survey to random sample of high school juniors in participating partner high schools. </w:t>
            </w:r>
          </w:p>
        </w:tc>
      </w:tr>
      <w:tr w:rsidR="00B272B5" w:rsidRPr="00396CDF" w14:paraId="362D4F53" w14:textId="77777777" w:rsidTr="009F4C0C">
        <w:tc>
          <w:tcPr>
            <w:tcW w:w="2988" w:type="dxa"/>
          </w:tcPr>
          <w:p w14:paraId="7064E165" w14:textId="32CC2334" w:rsidR="00B272B5" w:rsidRPr="00396CDF" w:rsidRDefault="00B272B5" w:rsidP="00B272B5">
            <w:pPr>
              <w:rPr>
                <w:rFonts w:ascii="Times New Roman" w:hAnsi="Times New Roman" w:cs="Times New Roman"/>
              </w:rPr>
            </w:pPr>
            <w:r w:rsidRPr="00396CDF">
              <w:rPr>
                <w:rFonts w:ascii="Times New Roman" w:hAnsi="Times New Roman" w:cs="Times New Roman"/>
              </w:rPr>
              <w:t>October 2014-May 2016</w:t>
            </w:r>
          </w:p>
        </w:tc>
        <w:tc>
          <w:tcPr>
            <w:tcW w:w="5868" w:type="dxa"/>
          </w:tcPr>
          <w:p w14:paraId="6927C7EA" w14:textId="3745BAB6" w:rsidR="00B272B5" w:rsidRPr="00396CDF" w:rsidRDefault="00B272B5" w:rsidP="00B272B5">
            <w:pPr>
              <w:rPr>
                <w:rFonts w:ascii="Times New Roman" w:hAnsi="Times New Roman" w:cs="Times New Roman"/>
              </w:rPr>
            </w:pPr>
            <w:r w:rsidRPr="00396CDF">
              <w:rPr>
                <w:rFonts w:ascii="Times New Roman" w:hAnsi="Times New Roman" w:cs="Times New Roman"/>
              </w:rPr>
              <w:t xml:space="preserve">Researchers work with institutions to collect term-by-term high school data on sample </w:t>
            </w:r>
          </w:p>
        </w:tc>
      </w:tr>
      <w:tr w:rsidR="000D660E" w:rsidRPr="00396CDF" w14:paraId="698239C6" w14:textId="77777777" w:rsidTr="009F4C0C">
        <w:tc>
          <w:tcPr>
            <w:tcW w:w="2988" w:type="dxa"/>
          </w:tcPr>
          <w:p w14:paraId="0F551F46" w14:textId="48467EFE" w:rsidR="000D660E" w:rsidRPr="00396CDF" w:rsidRDefault="00EE3008" w:rsidP="0098085E">
            <w:pPr>
              <w:rPr>
                <w:rFonts w:ascii="Times New Roman" w:hAnsi="Times New Roman" w:cs="Times New Roman"/>
              </w:rPr>
            </w:pPr>
            <w:r w:rsidRPr="00396CDF">
              <w:rPr>
                <w:rFonts w:ascii="Times New Roman" w:hAnsi="Times New Roman" w:cs="Times New Roman"/>
              </w:rPr>
              <w:t>February</w:t>
            </w:r>
            <w:r w:rsidR="000D660E" w:rsidRPr="00396CDF">
              <w:rPr>
                <w:rFonts w:ascii="Times New Roman" w:hAnsi="Times New Roman" w:cs="Times New Roman"/>
              </w:rPr>
              <w:t xml:space="preserve"> 2015</w:t>
            </w:r>
          </w:p>
        </w:tc>
        <w:tc>
          <w:tcPr>
            <w:tcW w:w="5868" w:type="dxa"/>
          </w:tcPr>
          <w:p w14:paraId="4F9D8849" w14:textId="3DC87A5B" w:rsidR="000D660E" w:rsidRPr="00396CDF" w:rsidRDefault="00EE3008" w:rsidP="00B272B5">
            <w:pPr>
              <w:rPr>
                <w:rFonts w:ascii="Times New Roman" w:hAnsi="Times New Roman" w:cs="Times New Roman"/>
              </w:rPr>
            </w:pPr>
            <w:r w:rsidRPr="00396CDF">
              <w:rPr>
                <w:rFonts w:ascii="Times New Roman" w:hAnsi="Times New Roman" w:cs="Times New Roman"/>
              </w:rPr>
              <w:t>Researchers conduct site visit to Site #1 for qualitative data collection</w:t>
            </w:r>
          </w:p>
        </w:tc>
      </w:tr>
      <w:tr w:rsidR="00EE3008" w:rsidRPr="00396CDF" w14:paraId="170F3748" w14:textId="77777777" w:rsidTr="009F4C0C">
        <w:tc>
          <w:tcPr>
            <w:tcW w:w="2988" w:type="dxa"/>
          </w:tcPr>
          <w:p w14:paraId="3E7FDAE5" w14:textId="4F0ACD8C" w:rsidR="00EE3008" w:rsidRPr="00396CDF" w:rsidRDefault="00EE3008" w:rsidP="0098085E">
            <w:pPr>
              <w:rPr>
                <w:rFonts w:ascii="Times New Roman" w:hAnsi="Times New Roman" w:cs="Times New Roman"/>
              </w:rPr>
            </w:pPr>
            <w:r w:rsidRPr="00396CDF">
              <w:rPr>
                <w:rFonts w:ascii="Times New Roman" w:hAnsi="Times New Roman" w:cs="Times New Roman"/>
              </w:rPr>
              <w:t>March 2015</w:t>
            </w:r>
          </w:p>
        </w:tc>
        <w:tc>
          <w:tcPr>
            <w:tcW w:w="5868" w:type="dxa"/>
          </w:tcPr>
          <w:p w14:paraId="49FD5769" w14:textId="3B975405" w:rsidR="00EE3008" w:rsidRPr="00396CDF" w:rsidRDefault="00EE3008" w:rsidP="00EE3008">
            <w:pPr>
              <w:rPr>
                <w:rFonts w:ascii="Times New Roman" w:hAnsi="Times New Roman" w:cs="Times New Roman"/>
              </w:rPr>
            </w:pPr>
            <w:r w:rsidRPr="00396CDF">
              <w:rPr>
                <w:rFonts w:ascii="Times New Roman" w:hAnsi="Times New Roman" w:cs="Times New Roman"/>
              </w:rPr>
              <w:t>Researchers conduct site visit to Site #2 for qualitative data collection</w:t>
            </w:r>
          </w:p>
        </w:tc>
      </w:tr>
      <w:tr w:rsidR="00EE3008" w:rsidRPr="00396CDF" w14:paraId="683BC79A" w14:textId="77777777" w:rsidTr="009F4C0C">
        <w:tc>
          <w:tcPr>
            <w:tcW w:w="2988" w:type="dxa"/>
          </w:tcPr>
          <w:p w14:paraId="35A68D7C" w14:textId="58654692" w:rsidR="00EE3008" w:rsidRPr="00396CDF" w:rsidRDefault="00EE3008" w:rsidP="0098085E">
            <w:pPr>
              <w:rPr>
                <w:rFonts w:ascii="Times New Roman" w:hAnsi="Times New Roman" w:cs="Times New Roman"/>
              </w:rPr>
            </w:pPr>
            <w:r w:rsidRPr="00396CDF">
              <w:rPr>
                <w:rFonts w:ascii="Times New Roman" w:hAnsi="Times New Roman" w:cs="Times New Roman"/>
              </w:rPr>
              <w:t>October 2015</w:t>
            </w:r>
          </w:p>
        </w:tc>
        <w:tc>
          <w:tcPr>
            <w:tcW w:w="5868" w:type="dxa"/>
          </w:tcPr>
          <w:p w14:paraId="518EA424" w14:textId="0B525958" w:rsidR="00EE3008" w:rsidRPr="00396CDF" w:rsidRDefault="00EE3008" w:rsidP="00EE3008">
            <w:pPr>
              <w:rPr>
                <w:rFonts w:ascii="Times New Roman" w:hAnsi="Times New Roman" w:cs="Times New Roman"/>
              </w:rPr>
            </w:pPr>
            <w:r w:rsidRPr="00396CDF">
              <w:rPr>
                <w:rFonts w:ascii="Times New Roman" w:hAnsi="Times New Roman" w:cs="Times New Roman"/>
              </w:rPr>
              <w:t xml:space="preserve">Phase Two Qualitative Report Released </w:t>
            </w:r>
          </w:p>
        </w:tc>
      </w:tr>
      <w:tr w:rsidR="00EE3008" w:rsidRPr="00396CDF" w14:paraId="21C0FBB1" w14:textId="77777777" w:rsidTr="009F4C0C">
        <w:tc>
          <w:tcPr>
            <w:tcW w:w="2988" w:type="dxa"/>
          </w:tcPr>
          <w:p w14:paraId="464E5968" w14:textId="03847392" w:rsidR="00EE3008" w:rsidRPr="00396CDF" w:rsidRDefault="00EE3008" w:rsidP="0098085E">
            <w:pPr>
              <w:rPr>
                <w:rFonts w:ascii="Times New Roman" w:hAnsi="Times New Roman" w:cs="Times New Roman"/>
              </w:rPr>
            </w:pPr>
            <w:r w:rsidRPr="00396CDF">
              <w:rPr>
                <w:rFonts w:ascii="Times New Roman" w:hAnsi="Times New Roman" w:cs="Times New Roman"/>
              </w:rPr>
              <w:t>October 2015</w:t>
            </w:r>
          </w:p>
        </w:tc>
        <w:tc>
          <w:tcPr>
            <w:tcW w:w="5868" w:type="dxa"/>
          </w:tcPr>
          <w:p w14:paraId="46C8D5DB" w14:textId="713A4C5F" w:rsidR="00EE3008" w:rsidRPr="00396CDF" w:rsidRDefault="00EE3008" w:rsidP="00B272B5">
            <w:pPr>
              <w:rPr>
                <w:rFonts w:ascii="Times New Roman" w:hAnsi="Times New Roman" w:cs="Times New Roman"/>
              </w:rPr>
            </w:pPr>
            <w:r w:rsidRPr="00396CDF">
              <w:rPr>
                <w:rFonts w:ascii="Times New Roman" w:hAnsi="Times New Roman" w:cs="Times New Roman"/>
              </w:rPr>
              <w:t>Phase One Technical Report and Phase Two Qualitative Report featured at NACEP conference</w:t>
            </w:r>
          </w:p>
        </w:tc>
      </w:tr>
      <w:tr w:rsidR="000D660E" w:rsidRPr="00396CDF" w14:paraId="3DC3BAA8" w14:textId="77777777" w:rsidTr="009F4C0C">
        <w:tc>
          <w:tcPr>
            <w:tcW w:w="2988" w:type="dxa"/>
          </w:tcPr>
          <w:p w14:paraId="3D10D3A1" w14:textId="18DC91FB" w:rsidR="000D660E" w:rsidRPr="00396CDF" w:rsidRDefault="000D660E" w:rsidP="0098085E">
            <w:pPr>
              <w:rPr>
                <w:rFonts w:ascii="Times New Roman" w:hAnsi="Times New Roman" w:cs="Times New Roman"/>
              </w:rPr>
            </w:pPr>
            <w:r w:rsidRPr="00396CDF">
              <w:rPr>
                <w:rFonts w:ascii="Times New Roman" w:hAnsi="Times New Roman" w:cs="Times New Roman"/>
              </w:rPr>
              <w:t>April 2016</w:t>
            </w:r>
          </w:p>
        </w:tc>
        <w:tc>
          <w:tcPr>
            <w:tcW w:w="5868" w:type="dxa"/>
          </w:tcPr>
          <w:p w14:paraId="499394E4" w14:textId="39FBF7AF" w:rsidR="000D660E" w:rsidRPr="00396CDF" w:rsidRDefault="000D660E" w:rsidP="00B272B5">
            <w:pPr>
              <w:rPr>
                <w:rFonts w:ascii="Times New Roman" w:hAnsi="Times New Roman" w:cs="Times New Roman"/>
              </w:rPr>
            </w:pPr>
            <w:r w:rsidRPr="00396CDF">
              <w:rPr>
                <w:rFonts w:ascii="Times New Roman" w:hAnsi="Times New Roman" w:cs="Times New Roman"/>
              </w:rPr>
              <w:t>Researchers administer post-test survey to same students who received pre-test (these students are not high school seniors)</w:t>
            </w:r>
          </w:p>
        </w:tc>
      </w:tr>
      <w:tr w:rsidR="000D660E" w:rsidRPr="00396CDF" w14:paraId="786E09BC" w14:textId="77777777" w:rsidTr="009F4C0C">
        <w:tc>
          <w:tcPr>
            <w:tcW w:w="2988" w:type="dxa"/>
          </w:tcPr>
          <w:p w14:paraId="394B6FE5" w14:textId="30785F11" w:rsidR="000D660E" w:rsidRPr="00396CDF" w:rsidRDefault="000D660E" w:rsidP="0098085E">
            <w:pPr>
              <w:rPr>
                <w:rFonts w:ascii="Times New Roman" w:hAnsi="Times New Roman" w:cs="Times New Roman"/>
              </w:rPr>
            </w:pPr>
            <w:r w:rsidRPr="00396CDF">
              <w:rPr>
                <w:rFonts w:ascii="Times New Roman" w:hAnsi="Times New Roman" w:cs="Times New Roman"/>
              </w:rPr>
              <w:t>August 2016</w:t>
            </w:r>
          </w:p>
        </w:tc>
        <w:tc>
          <w:tcPr>
            <w:tcW w:w="5868" w:type="dxa"/>
          </w:tcPr>
          <w:p w14:paraId="1E10753B" w14:textId="67B3713C" w:rsidR="000D660E" w:rsidRPr="00396CDF" w:rsidRDefault="000D660E" w:rsidP="000D660E">
            <w:pPr>
              <w:rPr>
                <w:rFonts w:ascii="Times New Roman" w:hAnsi="Times New Roman" w:cs="Times New Roman"/>
              </w:rPr>
            </w:pPr>
            <w:r w:rsidRPr="00396CDF">
              <w:rPr>
                <w:rFonts w:ascii="Times New Roman" w:hAnsi="Times New Roman" w:cs="Times New Roman"/>
              </w:rPr>
              <w:t>Interim report produced on concurrent enrollment participation, survey results, and college enrollment plans</w:t>
            </w:r>
          </w:p>
        </w:tc>
      </w:tr>
      <w:tr w:rsidR="00B272B5" w:rsidRPr="00396CDF" w14:paraId="16837F64" w14:textId="77777777" w:rsidTr="009F4C0C">
        <w:tc>
          <w:tcPr>
            <w:tcW w:w="2988" w:type="dxa"/>
          </w:tcPr>
          <w:p w14:paraId="265655C9" w14:textId="7173F375" w:rsidR="00B272B5" w:rsidRPr="00396CDF" w:rsidRDefault="00B272B5" w:rsidP="000D660E">
            <w:pPr>
              <w:rPr>
                <w:rFonts w:ascii="Times New Roman" w:hAnsi="Times New Roman" w:cs="Times New Roman"/>
              </w:rPr>
            </w:pPr>
            <w:r w:rsidRPr="00396CDF">
              <w:rPr>
                <w:rFonts w:ascii="Times New Roman" w:hAnsi="Times New Roman" w:cs="Times New Roman"/>
              </w:rPr>
              <w:t>May 2016-</w:t>
            </w:r>
            <w:r w:rsidR="000D660E" w:rsidRPr="00396CDF">
              <w:rPr>
                <w:rFonts w:ascii="Times New Roman" w:hAnsi="Times New Roman" w:cs="Times New Roman"/>
              </w:rPr>
              <w:t>August</w:t>
            </w:r>
            <w:r w:rsidRPr="00396CDF">
              <w:rPr>
                <w:rFonts w:ascii="Times New Roman" w:hAnsi="Times New Roman" w:cs="Times New Roman"/>
              </w:rPr>
              <w:t xml:space="preserve"> 2017</w:t>
            </w:r>
          </w:p>
        </w:tc>
        <w:tc>
          <w:tcPr>
            <w:tcW w:w="5868" w:type="dxa"/>
          </w:tcPr>
          <w:p w14:paraId="5925B451" w14:textId="7357DE79" w:rsidR="00B272B5" w:rsidRPr="00396CDF" w:rsidRDefault="00B272B5" w:rsidP="00B272B5">
            <w:pPr>
              <w:rPr>
                <w:rFonts w:ascii="Times New Roman" w:hAnsi="Times New Roman" w:cs="Times New Roman"/>
              </w:rPr>
            </w:pPr>
            <w:r w:rsidRPr="00396CDF">
              <w:rPr>
                <w:rFonts w:ascii="Times New Roman" w:hAnsi="Times New Roman" w:cs="Times New Roman"/>
              </w:rPr>
              <w:t>Researchers work with institutions to collect term-by-term college data on sample</w:t>
            </w:r>
          </w:p>
        </w:tc>
      </w:tr>
      <w:tr w:rsidR="00B272B5" w:rsidRPr="00396CDF" w14:paraId="4138016C" w14:textId="77777777" w:rsidTr="009F4C0C">
        <w:tc>
          <w:tcPr>
            <w:tcW w:w="2988" w:type="dxa"/>
          </w:tcPr>
          <w:p w14:paraId="739D3370" w14:textId="6A0BF9B0" w:rsidR="00B272B5" w:rsidRPr="00396CDF" w:rsidRDefault="000D660E" w:rsidP="0098085E">
            <w:pPr>
              <w:rPr>
                <w:rFonts w:ascii="Times New Roman" w:hAnsi="Times New Roman" w:cs="Times New Roman"/>
              </w:rPr>
            </w:pPr>
            <w:r w:rsidRPr="00396CDF">
              <w:rPr>
                <w:rFonts w:ascii="Times New Roman" w:hAnsi="Times New Roman" w:cs="Times New Roman"/>
              </w:rPr>
              <w:t>December 2017</w:t>
            </w:r>
          </w:p>
        </w:tc>
        <w:tc>
          <w:tcPr>
            <w:tcW w:w="5868" w:type="dxa"/>
          </w:tcPr>
          <w:p w14:paraId="70CB458C" w14:textId="1C885C24" w:rsidR="00B272B5" w:rsidRPr="00396CDF" w:rsidRDefault="000D660E" w:rsidP="000D660E">
            <w:pPr>
              <w:rPr>
                <w:rFonts w:ascii="Times New Roman" w:hAnsi="Times New Roman" w:cs="Times New Roman"/>
              </w:rPr>
            </w:pPr>
            <w:r w:rsidRPr="00396CDF">
              <w:rPr>
                <w:rFonts w:ascii="Times New Roman" w:hAnsi="Times New Roman" w:cs="Times New Roman"/>
              </w:rPr>
              <w:t>Phase Two Technical Report released</w:t>
            </w:r>
          </w:p>
        </w:tc>
      </w:tr>
    </w:tbl>
    <w:p w14:paraId="610DFEA8" w14:textId="70EF6C90" w:rsidR="00961846" w:rsidRPr="00396CDF" w:rsidRDefault="00961846" w:rsidP="0098085E">
      <w:pPr>
        <w:rPr>
          <w:rFonts w:ascii="Times New Roman" w:hAnsi="Times New Roman" w:cs="Times New Roman"/>
        </w:rPr>
      </w:pPr>
    </w:p>
    <w:p w14:paraId="05AAE33B" w14:textId="77777777" w:rsidR="003E443D" w:rsidRPr="00396CDF" w:rsidRDefault="003E443D" w:rsidP="0098085E">
      <w:pPr>
        <w:rPr>
          <w:rFonts w:ascii="Times New Roman" w:hAnsi="Times New Roman" w:cs="Times New Roman"/>
        </w:rPr>
      </w:pPr>
    </w:p>
    <w:p w14:paraId="71C092D1" w14:textId="77777777" w:rsidR="00E22371" w:rsidRPr="00396CDF" w:rsidRDefault="00E22371" w:rsidP="00154492">
      <w:pPr>
        <w:rPr>
          <w:rFonts w:ascii="Times New Roman" w:hAnsi="Times New Roman" w:cs="Times New Roman"/>
        </w:rPr>
      </w:pPr>
    </w:p>
    <w:p w14:paraId="00CE11C2" w14:textId="77777777" w:rsidR="00057862" w:rsidRPr="00396CDF" w:rsidRDefault="00057862" w:rsidP="00057862">
      <w:pPr>
        <w:rPr>
          <w:rFonts w:ascii="Times New Roman" w:hAnsi="Times New Roman" w:cs="Times New Roman"/>
        </w:rPr>
      </w:pPr>
    </w:p>
    <w:p w14:paraId="6986962F" w14:textId="77777777" w:rsidR="00057862" w:rsidRPr="00396CDF" w:rsidRDefault="00057862" w:rsidP="00057862">
      <w:pPr>
        <w:rPr>
          <w:rFonts w:ascii="Times New Roman" w:hAnsi="Times New Roman" w:cs="Times New Roman"/>
        </w:rPr>
      </w:pPr>
    </w:p>
    <w:p w14:paraId="6B3C66E2" w14:textId="0743D5D4" w:rsidR="00057862" w:rsidRPr="00396CDF" w:rsidRDefault="00057862">
      <w:pPr>
        <w:rPr>
          <w:rFonts w:ascii="Times New Roman" w:hAnsi="Times New Roman" w:cs="Times New Roman"/>
        </w:rPr>
      </w:pPr>
      <w:r w:rsidRPr="00396CDF">
        <w:rPr>
          <w:rFonts w:ascii="Times New Roman" w:hAnsi="Times New Roman" w:cs="Times New Roman"/>
        </w:rPr>
        <w:br w:type="page"/>
      </w:r>
    </w:p>
    <w:p w14:paraId="506EE4E1" w14:textId="08403630" w:rsidR="00057862" w:rsidRPr="00396CDF" w:rsidRDefault="00057862" w:rsidP="00243D07">
      <w:pPr>
        <w:jc w:val="center"/>
        <w:rPr>
          <w:rFonts w:ascii="Times New Roman" w:hAnsi="Times New Roman" w:cs="Times New Roman"/>
          <w:b/>
        </w:rPr>
      </w:pPr>
      <w:r w:rsidRPr="00396CDF">
        <w:rPr>
          <w:rFonts w:ascii="Times New Roman" w:hAnsi="Times New Roman" w:cs="Times New Roman"/>
          <w:b/>
        </w:rPr>
        <w:lastRenderedPageBreak/>
        <w:t>References</w:t>
      </w:r>
    </w:p>
    <w:p w14:paraId="494F74CA" w14:textId="77777777" w:rsidR="00057862" w:rsidRPr="00396CDF" w:rsidRDefault="00057862" w:rsidP="00057862">
      <w:pPr>
        <w:rPr>
          <w:rFonts w:ascii="Times New Roman" w:hAnsi="Times New Roman" w:cs="Times New Roman"/>
        </w:rPr>
      </w:pPr>
    </w:p>
    <w:p w14:paraId="466A1E60" w14:textId="3525BEA4" w:rsidR="00E23739" w:rsidRPr="00396CDF" w:rsidRDefault="00E23739" w:rsidP="00E23739">
      <w:pPr>
        <w:ind w:left="720" w:hanging="720"/>
        <w:rPr>
          <w:rFonts w:ascii="Times New Roman" w:hAnsi="Times New Roman" w:cs="Times New Roman"/>
          <w:color w:val="000000"/>
        </w:rPr>
      </w:pPr>
      <w:r w:rsidRPr="00396CDF">
        <w:rPr>
          <w:rFonts w:ascii="Times New Roman" w:hAnsi="Times New Roman" w:cs="Times New Roman"/>
          <w:color w:val="000000"/>
        </w:rPr>
        <w:t xml:space="preserve">Andrews, H. A. (2000). Lessons learned from current state and national dual credit programs. </w:t>
      </w:r>
      <w:proofErr w:type="gramStart"/>
      <w:r w:rsidRPr="00396CDF">
        <w:rPr>
          <w:rFonts w:ascii="Times New Roman" w:hAnsi="Times New Roman" w:cs="Times New Roman"/>
          <w:i/>
          <w:color w:val="000000"/>
        </w:rPr>
        <w:t>New Directions for Community Colleges, 111</w:t>
      </w:r>
      <w:r w:rsidRPr="00396CDF">
        <w:rPr>
          <w:rFonts w:ascii="Times New Roman" w:hAnsi="Times New Roman" w:cs="Times New Roman"/>
          <w:color w:val="000000"/>
        </w:rPr>
        <w:t>, 31-39.</w:t>
      </w:r>
      <w:proofErr w:type="gramEnd"/>
      <w:r w:rsidRPr="00396CDF">
        <w:rPr>
          <w:rFonts w:ascii="Times New Roman" w:hAnsi="Times New Roman" w:cs="Times New Roman"/>
          <w:color w:val="000000"/>
        </w:rPr>
        <w:t xml:space="preserve"> </w:t>
      </w:r>
    </w:p>
    <w:p w14:paraId="6906F6BC" w14:textId="77777777" w:rsidR="001D1DA3" w:rsidRPr="00396CDF" w:rsidRDefault="001D1DA3" w:rsidP="00E23739">
      <w:pPr>
        <w:ind w:left="720" w:hanging="720"/>
        <w:rPr>
          <w:rFonts w:ascii="Times New Roman" w:hAnsi="Times New Roman" w:cs="Times New Roman"/>
          <w:color w:val="000000"/>
        </w:rPr>
      </w:pPr>
    </w:p>
    <w:p w14:paraId="040F5F0A" w14:textId="06CA4BCB" w:rsidR="00E23739" w:rsidRPr="00396CDF" w:rsidRDefault="001E6AC6" w:rsidP="00C80BA8">
      <w:pPr>
        <w:widowControl w:val="0"/>
        <w:autoSpaceDE w:val="0"/>
        <w:autoSpaceDN w:val="0"/>
        <w:adjustRightInd w:val="0"/>
        <w:ind w:left="720" w:hanging="720"/>
        <w:rPr>
          <w:rFonts w:ascii="Times New Roman" w:hAnsi="Times New Roman" w:cs="Times New Roman"/>
        </w:rPr>
      </w:pPr>
      <w:r w:rsidRPr="00396CDF">
        <w:rPr>
          <w:rFonts w:ascii="Times New Roman" w:hAnsi="Times New Roman" w:cs="Times New Roman"/>
        </w:rPr>
        <w:t xml:space="preserve">Borden, V. M. H., Taylor, J. L., Park, E., &amp; Seiler, D. J. (2013). </w:t>
      </w:r>
      <w:r w:rsidRPr="00396CDF">
        <w:rPr>
          <w:rFonts w:ascii="Times New Roman" w:hAnsi="Times New Roman" w:cs="Times New Roman"/>
          <w:i/>
        </w:rPr>
        <w:t>Dual credit in U.S. higher education: A study of state policy and quality assurance practices</w:t>
      </w:r>
      <w:r w:rsidRPr="00396CDF">
        <w:rPr>
          <w:rFonts w:ascii="Times New Roman" w:hAnsi="Times New Roman" w:cs="Times New Roman"/>
        </w:rPr>
        <w:t>. Chicago, IL: Higher Learning Commission.</w:t>
      </w:r>
    </w:p>
    <w:p w14:paraId="2B5802C2" w14:textId="77777777" w:rsidR="001E6AC6" w:rsidRPr="00396CDF" w:rsidRDefault="001E6AC6" w:rsidP="00E23739">
      <w:pPr>
        <w:ind w:left="720" w:hanging="720"/>
        <w:rPr>
          <w:rFonts w:ascii="Times New Roman" w:hAnsi="Times New Roman" w:cs="Times New Roman"/>
          <w:color w:val="000000"/>
        </w:rPr>
      </w:pPr>
    </w:p>
    <w:p w14:paraId="5CBDC4B8" w14:textId="37A379B5" w:rsidR="00E23739" w:rsidRPr="00396CDF" w:rsidRDefault="00E23739" w:rsidP="00E23739">
      <w:pPr>
        <w:ind w:left="720" w:hanging="720"/>
        <w:rPr>
          <w:rFonts w:ascii="Times New Roman" w:hAnsi="Times New Roman" w:cs="Times New Roman"/>
          <w:color w:val="000000"/>
        </w:rPr>
      </w:pPr>
      <w:r w:rsidRPr="00396CDF">
        <w:rPr>
          <w:rFonts w:ascii="Times New Roman" w:hAnsi="Times New Roman" w:cs="Times New Roman"/>
          <w:color w:val="000000"/>
        </w:rPr>
        <w:t xml:space="preserve">Boswell, K. (2001). Dual enrollment programs: Accessing the academic dream. </w:t>
      </w:r>
      <w:r w:rsidRPr="00396CDF">
        <w:rPr>
          <w:rFonts w:ascii="Times New Roman" w:hAnsi="Times New Roman" w:cs="Times New Roman"/>
          <w:i/>
          <w:color w:val="000000"/>
        </w:rPr>
        <w:t>Update on Research and Leadership, 13</w:t>
      </w:r>
      <w:r w:rsidRPr="00396CDF">
        <w:rPr>
          <w:rFonts w:ascii="Times New Roman" w:hAnsi="Times New Roman" w:cs="Times New Roman"/>
          <w:color w:val="000000"/>
        </w:rPr>
        <w:t xml:space="preserve">(1), 1-3. </w:t>
      </w:r>
    </w:p>
    <w:p w14:paraId="1580F69D" w14:textId="77777777" w:rsidR="00E23739" w:rsidRPr="00396CDF" w:rsidRDefault="00E23739" w:rsidP="00E23739">
      <w:pPr>
        <w:ind w:left="720" w:hanging="720"/>
        <w:rPr>
          <w:rFonts w:ascii="Times New Roman" w:hAnsi="Times New Roman" w:cs="Times New Roman"/>
          <w:color w:val="000000"/>
        </w:rPr>
      </w:pPr>
    </w:p>
    <w:p w14:paraId="7D45967D" w14:textId="1630383E" w:rsidR="001E6AC6" w:rsidRPr="00396CDF" w:rsidRDefault="001E6AC6" w:rsidP="00E23739">
      <w:pPr>
        <w:ind w:left="720" w:hanging="720"/>
        <w:rPr>
          <w:rFonts w:ascii="Times New Roman" w:hAnsi="Times New Roman" w:cs="Times New Roman"/>
          <w:color w:val="000000"/>
        </w:rPr>
      </w:pPr>
      <w:r w:rsidRPr="00396CDF">
        <w:rPr>
          <w:rFonts w:ascii="Times New Roman" w:hAnsi="Times New Roman" w:cs="Times New Roman"/>
          <w:color w:val="000000"/>
        </w:rPr>
        <w:t xml:space="preserve">Brittingham, B. (2009). Accreditation in the United States: How did we get to where we are? </w:t>
      </w:r>
      <w:proofErr w:type="gramStart"/>
      <w:r w:rsidRPr="00396CDF">
        <w:rPr>
          <w:rFonts w:ascii="Times New Roman" w:hAnsi="Times New Roman" w:cs="Times New Roman"/>
          <w:i/>
          <w:color w:val="000000"/>
        </w:rPr>
        <w:t>New Directions for Higher Education, 145</w:t>
      </w:r>
      <w:r w:rsidRPr="00396CDF">
        <w:rPr>
          <w:rFonts w:ascii="Times New Roman" w:hAnsi="Times New Roman" w:cs="Times New Roman"/>
          <w:color w:val="000000"/>
        </w:rPr>
        <w:t>, 7-27.</w:t>
      </w:r>
      <w:proofErr w:type="gramEnd"/>
      <w:r w:rsidRPr="00396CDF">
        <w:rPr>
          <w:rFonts w:ascii="Times New Roman" w:hAnsi="Times New Roman" w:cs="Times New Roman"/>
          <w:color w:val="000000"/>
        </w:rPr>
        <w:t xml:space="preserve"> </w:t>
      </w:r>
    </w:p>
    <w:p w14:paraId="71AB2CDF" w14:textId="77777777" w:rsidR="001E6AC6" w:rsidRPr="00396CDF" w:rsidRDefault="001E6AC6" w:rsidP="00E23739">
      <w:pPr>
        <w:ind w:left="720" w:hanging="720"/>
        <w:rPr>
          <w:rFonts w:ascii="Times New Roman" w:hAnsi="Times New Roman" w:cs="Times New Roman"/>
          <w:color w:val="000000"/>
        </w:rPr>
      </w:pPr>
    </w:p>
    <w:p w14:paraId="0F81A10E" w14:textId="7C308F81" w:rsidR="00E23739" w:rsidRPr="00396CDF" w:rsidRDefault="00E23739" w:rsidP="00E23739">
      <w:pPr>
        <w:ind w:left="720" w:hanging="720"/>
        <w:rPr>
          <w:rFonts w:ascii="Times New Roman" w:hAnsi="Times New Roman" w:cs="Times New Roman"/>
          <w:color w:val="000000"/>
        </w:rPr>
      </w:pPr>
      <w:r w:rsidRPr="00396CDF">
        <w:rPr>
          <w:rFonts w:ascii="Times New Roman" w:hAnsi="Times New Roman" w:cs="Times New Roman"/>
          <w:color w:val="000000"/>
        </w:rPr>
        <w:t xml:space="preserve">Clark, R. W. (2001). </w:t>
      </w:r>
      <w:r w:rsidRPr="00396CDF">
        <w:rPr>
          <w:rFonts w:ascii="Times New Roman" w:hAnsi="Times New Roman" w:cs="Times New Roman"/>
          <w:i/>
          <w:color w:val="000000"/>
        </w:rPr>
        <w:t>Dual credit: A report of programs and policies that offer high school students college credit</w:t>
      </w:r>
      <w:r w:rsidRPr="00396CDF">
        <w:rPr>
          <w:rFonts w:ascii="Times New Roman" w:hAnsi="Times New Roman" w:cs="Times New Roman"/>
          <w:color w:val="000000"/>
        </w:rPr>
        <w:t xml:space="preserve">. Seattle, WA: Institute for Educational Inquiry. </w:t>
      </w:r>
    </w:p>
    <w:p w14:paraId="1B7658C6" w14:textId="77777777" w:rsidR="00E23739" w:rsidRPr="00396CDF" w:rsidRDefault="00E23739" w:rsidP="00E23739">
      <w:pPr>
        <w:ind w:left="720" w:hanging="720"/>
        <w:rPr>
          <w:rFonts w:ascii="Times New Roman" w:hAnsi="Times New Roman" w:cs="Times New Roman"/>
          <w:color w:val="000000"/>
        </w:rPr>
      </w:pPr>
    </w:p>
    <w:p w14:paraId="1087AD05" w14:textId="54CB879C" w:rsidR="00637AE3" w:rsidRPr="00396CDF" w:rsidRDefault="00637AE3" w:rsidP="00E23739">
      <w:pPr>
        <w:ind w:left="720" w:hanging="720"/>
        <w:rPr>
          <w:rFonts w:ascii="Times New Roman" w:hAnsi="Times New Roman" w:cs="Times New Roman"/>
          <w:color w:val="000000"/>
        </w:rPr>
      </w:pPr>
      <w:r w:rsidRPr="00396CDF">
        <w:rPr>
          <w:rFonts w:ascii="Times New Roman" w:hAnsi="Times New Roman" w:cs="Times New Roman"/>
          <w:color w:val="000000"/>
        </w:rPr>
        <w:t xml:space="preserve">Eaton, J. S. (2009). </w:t>
      </w:r>
      <w:proofErr w:type="gramStart"/>
      <w:r w:rsidRPr="00396CDF">
        <w:rPr>
          <w:rFonts w:ascii="Times New Roman" w:hAnsi="Times New Roman" w:cs="Times New Roman"/>
          <w:color w:val="000000"/>
        </w:rPr>
        <w:t>Accreditation in the United States.</w:t>
      </w:r>
      <w:proofErr w:type="gramEnd"/>
      <w:r w:rsidRPr="00396CDF">
        <w:rPr>
          <w:rFonts w:ascii="Times New Roman" w:hAnsi="Times New Roman" w:cs="Times New Roman"/>
          <w:color w:val="000000"/>
        </w:rPr>
        <w:t xml:space="preserve"> </w:t>
      </w:r>
      <w:proofErr w:type="gramStart"/>
      <w:r w:rsidRPr="00396CDF">
        <w:rPr>
          <w:rFonts w:ascii="Times New Roman" w:hAnsi="Times New Roman" w:cs="Times New Roman"/>
          <w:i/>
          <w:color w:val="000000"/>
        </w:rPr>
        <w:t>New Directions for Higher Education, 145</w:t>
      </w:r>
      <w:r w:rsidRPr="00396CDF">
        <w:rPr>
          <w:rFonts w:ascii="Times New Roman" w:hAnsi="Times New Roman" w:cs="Times New Roman"/>
          <w:color w:val="000000"/>
        </w:rPr>
        <w:t>, 79-86.</w:t>
      </w:r>
      <w:proofErr w:type="gramEnd"/>
      <w:r w:rsidRPr="00396CDF">
        <w:rPr>
          <w:rFonts w:ascii="Times New Roman" w:hAnsi="Times New Roman" w:cs="Times New Roman"/>
          <w:color w:val="000000"/>
        </w:rPr>
        <w:t xml:space="preserve"> </w:t>
      </w:r>
    </w:p>
    <w:p w14:paraId="40054553" w14:textId="77777777" w:rsidR="00637AE3" w:rsidRPr="00396CDF" w:rsidRDefault="00637AE3" w:rsidP="00E23739">
      <w:pPr>
        <w:ind w:left="720" w:hanging="720"/>
        <w:rPr>
          <w:rFonts w:ascii="Times New Roman" w:hAnsi="Times New Roman" w:cs="Times New Roman"/>
          <w:color w:val="000000"/>
        </w:rPr>
      </w:pPr>
    </w:p>
    <w:p w14:paraId="74699878" w14:textId="120B30F4" w:rsidR="00DE238A" w:rsidRPr="00396CDF" w:rsidRDefault="00DE238A" w:rsidP="00E23739">
      <w:pPr>
        <w:ind w:left="720" w:hanging="720"/>
        <w:rPr>
          <w:rFonts w:ascii="Times New Roman" w:hAnsi="Times New Roman" w:cs="Times New Roman"/>
        </w:rPr>
      </w:pPr>
      <w:proofErr w:type="gramStart"/>
      <w:r w:rsidRPr="00396CDF">
        <w:rPr>
          <w:rFonts w:ascii="Times New Roman" w:hAnsi="Times New Roman" w:cs="Times New Roman"/>
        </w:rPr>
        <w:t>Geise, M. J. (2011).</w:t>
      </w:r>
      <w:proofErr w:type="gramEnd"/>
      <w:r w:rsidRPr="00396CDF">
        <w:rPr>
          <w:rFonts w:ascii="Times New Roman" w:hAnsi="Times New Roman" w:cs="Times New Roman"/>
        </w:rPr>
        <w:t xml:space="preserve"> A longitudinal analysis of outcomes associated with Ohio’s Postsecondary Enrollment Options Program. </w:t>
      </w:r>
      <w:proofErr w:type="gramStart"/>
      <w:r w:rsidRPr="00396CDF">
        <w:rPr>
          <w:rFonts w:ascii="Times New Roman" w:hAnsi="Times New Roman" w:cs="Times New Roman"/>
        </w:rPr>
        <w:t>(Doctoral Dissertation, Bowling Green State University).</w:t>
      </w:r>
      <w:proofErr w:type="gramEnd"/>
      <w:r w:rsidRPr="00396CDF">
        <w:rPr>
          <w:rFonts w:ascii="Times New Roman" w:hAnsi="Times New Roman" w:cs="Times New Roman"/>
        </w:rPr>
        <w:t xml:space="preserve"> Retrieved from ProQuest Dissertation &amp; Theses. </w:t>
      </w:r>
      <w:proofErr w:type="gramStart"/>
      <w:r w:rsidRPr="00396CDF">
        <w:rPr>
          <w:rFonts w:ascii="Times New Roman" w:hAnsi="Times New Roman" w:cs="Times New Roman"/>
        </w:rPr>
        <w:t>(UMI Number 3451592).</w:t>
      </w:r>
      <w:proofErr w:type="gramEnd"/>
    </w:p>
    <w:p w14:paraId="45E7CF42" w14:textId="77777777" w:rsidR="001D1DA3" w:rsidRPr="00396CDF" w:rsidRDefault="001D1DA3" w:rsidP="00E23739">
      <w:pPr>
        <w:ind w:left="720" w:hanging="720"/>
        <w:rPr>
          <w:rFonts w:ascii="Times New Roman" w:hAnsi="Times New Roman" w:cs="Times New Roman"/>
        </w:rPr>
      </w:pPr>
    </w:p>
    <w:p w14:paraId="6CFD6F17" w14:textId="6ACB05C0" w:rsidR="00C6455B" w:rsidRPr="00396CDF" w:rsidRDefault="00C6455B" w:rsidP="001D1DA3">
      <w:pPr>
        <w:widowControl w:val="0"/>
        <w:autoSpaceDE w:val="0"/>
        <w:autoSpaceDN w:val="0"/>
        <w:adjustRightInd w:val="0"/>
        <w:ind w:left="720" w:hanging="720"/>
        <w:rPr>
          <w:rFonts w:ascii="Times New Roman" w:hAnsi="Times New Roman" w:cs="Times New Roman"/>
        </w:rPr>
      </w:pPr>
      <w:proofErr w:type="gramStart"/>
      <w:r w:rsidRPr="00396CDF">
        <w:rPr>
          <w:rFonts w:ascii="Times New Roman" w:hAnsi="Times New Roman" w:cs="Times New Roman"/>
        </w:rPr>
        <w:t>Karp, M. M. (2012).</w:t>
      </w:r>
      <w:proofErr w:type="gramEnd"/>
      <w:r w:rsidRPr="00396CDF">
        <w:rPr>
          <w:rFonts w:ascii="Times New Roman" w:hAnsi="Times New Roman" w:cs="Times New Roman"/>
        </w:rPr>
        <w:t xml:space="preserve"> “I don't know</w:t>
      </w:r>
      <w:proofErr w:type="gramStart"/>
      <w:r w:rsidRPr="00396CDF">
        <w:rPr>
          <w:rFonts w:ascii="Times New Roman" w:hAnsi="Times New Roman" w:cs="Times New Roman"/>
        </w:rPr>
        <w:t>,</w:t>
      </w:r>
      <w:proofErr w:type="gramEnd"/>
      <w:r w:rsidRPr="00396CDF">
        <w:rPr>
          <w:rFonts w:ascii="Times New Roman" w:hAnsi="Times New Roman" w:cs="Times New Roman"/>
        </w:rPr>
        <w:t xml:space="preserve"> I’ve never been to college!” </w:t>
      </w:r>
      <w:proofErr w:type="gramStart"/>
      <w:r w:rsidRPr="00396CDF">
        <w:rPr>
          <w:rFonts w:ascii="Times New Roman" w:hAnsi="Times New Roman" w:cs="Times New Roman"/>
        </w:rPr>
        <w:t>Dual enrollment as a college readiness strategy.</w:t>
      </w:r>
      <w:proofErr w:type="gramEnd"/>
      <w:r w:rsidRPr="00396CDF">
        <w:rPr>
          <w:rFonts w:ascii="Times New Roman" w:hAnsi="Times New Roman" w:cs="Times New Roman"/>
        </w:rPr>
        <w:t xml:space="preserve"> </w:t>
      </w:r>
      <w:r w:rsidRPr="00396CDF">
        <w:rPr>
          <w:rFonts w:ascii="Times New Roman" w:hAnsi="Times New Roman" w:cs="Times New Roman"/>
          <w:i/>
        </w:rPr>
        <w:t>New Directions for Higher Education, 158</w:t>
      </w:r>
      <w:r w:rsidRPr="00396CDF">
        <w:rPr>
          <w:rFonts w:ascii="Times New Roman" w:hAnsi="Times New Roman" w:cs="Times New Roman"/>
        </w:rPr>
        <w:t>, 21–28.</w:t>
      </w:r>
    </w:p>
    <w:p w14:paraId="40422DE7" w14:textId="77777777" w:rsidR="001D1DA3" w:rsidRPr="00396CDF" w:rsidRDefault="001D1DA3" w:rsidP="001D1DA3">
      <w:pPr>
        <w:widowControl w:val="0"/>
        <w:autoSpaceDE w:val="0"/>
        <w:autoSpaceDN w:val="0"/>
        <w:adjustRightInd w:val="0"/>
        <w:ind w:left="720" w:hanging="720"/>
        <w:rPr>
          <w:rFonts w:ascii="Times New Roman" w:hAnsi="Times New Roman" w:cs="Times New Roman"/>
        </w:rPr>
      </w:pPr>
    </w:p>
    <w:p w14:paraId="08A0FC13" w14:textId="643D046C" w:rsidR="00DE238A" w:rsidRPr="00396CDF" w:rsidRDefault="00DE238A" w:rsidP="00E23739">
      <w:pPr>
        <w:ind w:left="720" w:hanging="720"/>
        <w:rPr>
          <w:rFonts w:ascii="Times New Roman" w:hAnsi="Times New Roman" w:cs="Times New Roman"/>
        </w:rPr>
      </w:pPr>
      <w:r w:rsidRPr="00396CDF">
        <w:rPr>
          <w:rFonts w:ascii="Times New Roman" w:hAnsi="Times New Roman" w:cs="Times New Roman"/>
        </w:rPr>
        <w:t xml:space="preserve">Karp, M.M., Calcagno, J.C., Hughes, K.L., Jeong, D.W. &amp; Bailey, T.R. (2007). </w:t>
      </w:r>
      <w:r w:rsidRPr="00396CDF">
        <w:rPr>
          <w:rFonts w:ascii="Times New Roman" w:hAnsi="Times New Roman" w:cs="Times New Roman"/>
          <w:i/>
          <w:iCs/>
        </w:rPr>
        <w:t>The postsecondary achievement of participants in dual enrollment: An analysis of student outcomes in two states</w:t>
      </w:r>
      <w:r w:rsidRPr="00396CDF">
        <w:rPr>
          <w:rFonts w:ascii="Times New Roman" w:hAnsi="Times New Roman" w:cs="Times New Roman"/>
        </w:rPr>
        <w:t xml:space="preserve">. New York, NY: Community College Research Center, Teachers College, </w:t>
      </w:r>
      <w:proofErr w:type="gramStart"/>
      <w:r w:rsidRPr="00396CDF">
        <w:rPr>
          <w:rFonts w:ascii="Times New Roman" w:hAnsi="Times New Roman" w:cs="Times New Roman"/>
        </w:rPr>
        <w:t>Columbia</w:t>
      </w:r>
      <w:proofErr w:type="gramEnd"/>
      <w:r w:rsidRPr="00396CDF">
        <w:rPr>
          <w:rFonts w:ascii="Times New Roman" w:hAnsi="Times New Roman" w:cs="Times New Roman"/>
        </w:rPr>
        <w:t xml:space="preserve"> University.</w:t>
      </w:r>
    </w:p>
    <w:p w14:paraId="71400664" w14:textId="77777777" w:rsidR="001D1DA3" w:rsidRPr="00396CDF" w:rsidRDefault="001D1DA3" w:rsidP="00E23739">
      <w:pPr>
        <w:ind w:left="720" w:hanging="720"/>
        <w:rPr>
          <w:rFonts w:ascii="Times New Roman" w:hAnsi="Times New Roman" w:cs="Times New Roman"/>
        </w:rPr>
      </w:pPr>
    </w:p>
    <w:p w14:paraId="22F320C6" w14:textId="054E9435" w:rsidR="00DE238A" w:rsidRPr="00396CDF" w:rsidRDefault="00DE238A" w:rsidP="00E23739">
      <w:pPr>
        <w:ind w:left="720" w:hanging="720"/>
        <w:rPr>
          <w:rFonts w:ascii="Times New Roman" w:hAnsi="Times New Roman" w:cs="Times New Roman"/>
        </w:rPr>
      </w:pPr>
      <w:r w:rsidRPr="00396CDF">
        <w:rPr>
          <w:rFonts w:ascii="Times New Roman" w:hAnsi="Times New Roman" w:cs="Times New Roman"/>
        </w:rPr>
        <w:t xml:space="preserve">Kim, J., &amp; Bragg, D. D. (2008). </w:t>
      </w:r>
      <w:proofErr w:type="gramStart"/>
      <w:r w:rsidRPr="00396CDF">
        <w:rPr>
          <w:rFonts w:ascii="Times New Roman" w:hAnsi="Times New Roman" w:cs="Times New Roman"/>
        </w:rPr>
        <w:t>The impact of dual and articulated credit on college readiness and retention in four community colleges.</w:t>
      </w:r>
      <w:proofErr w:type="gramEnd"/>
      <w:r w:rsidRPr="00396CDF">
        <w:rPr>
          <w:rFonts w:ascii="Times New Roman" w:hAnsi="Times New Roman" w:cs="Times New Roman"/>
        </w:rPr>
        <w:t xml:space="preserve"> </w:t>
      </w:r>
      <w:proofErr w:type="gramStart"/>
      <w:r w:rsidRPr="00396CDF">
        <w:rPr>
          <w:rFonts w:ascii="Times New Roman" w:hAnsi="Times New Roman" w:cs="Times New Roman"/>
          <w:i/>
          <w:iCs/>
        </w:rPr>
        <w:t>Career and Technical Education Research, 33</w:t>
      </w:r>
      <w:r w:rsidRPr="00396CDF">
        <w:rPr>
          <w:rFonts w:ascii="Times New Roman" w:hAnsi="Times New Roman" w:cs="Times New Roman"/>
        </w:rPr>
        <w:t>(2), 133-158.</w:t>
      </w:r>
      <w:proofErr w:type="gramEnd"/>
    </w:p>
    <w:p w14:paraId="067929AA" w14:textId="77777777" w:rsidR="001D1DA3" w:rsidRPr="00396CDF" w:rsidRDefault="001D1DA3" w:rsidP="00E23739">
      <w:pPr>
        <w:ind w:left="720" w:hanging="720"/>
        <w:rPr>
          <w:rFonts w:ascii="Times New Roman" w:hAnsi="Times New Roman" w:cs="Times New Roman"/>
        </w:rPr>
      </w:pPr>
    </w:p>
    <w:p w14:paraId="651838C6" w14:textId="782B2BF2" w:rsidR="003334BB" w:rsidRPr="00396CDF" w:rsidRDefault="003334BB" w:rsidP="00E23739">
      <w:pPr>
        <w:ind w:left="720" w:hanging="720"/>
        <w:rPr>
          <w:rFonts w:ascii="Times New Roman" w:hAnsi="Times New Roman" w:cs="Times New Roman"/>
        </w:rPr>
      </w:pPr>
      <w:r w:rsidRPr="00396CDF">
        <w:rPr>
          <w:rFonts w:ascii="Times New Roman" w:hAnsi="Times New Roman" w:cs="Times New Roman"/>
        </w:rPr>
        <w:t xml:space="preserve">Lowe, A. L. (2010). </w:t>
      </w:r>
      <w:r w:rsidRPr="00396CDF">
        <w:rPr>
          <w:rFonts w:ascii="Times New Roman" w:hAnsi="Times New Roman" w:cs="Times New Roman"/>
          <w:i/>
        </w:rPr>
        <w:t>Promoting quality: State strategies for overseeing dual enrollment programs.</w:t>
      </w:r>
      <w:r w:rsidRPr="00396CDF">
        <w:rPr>
          <w:rFonts w:ascii="Times New Roman" w:hAnsi="Times New Roman" w:cs="Times New Roman"/>
        </w:rPr>
        <w:t xml:space="preserve"> Chapel Hill, NC: National Alliance for Concurrent Enrollment Partnerships. </w:t>
      </w:r>
    </w:p>
    <w:p w14:paraId="39A0B3A3" w14:textId="77777777" w:rsidR="003334BB" w:rsidRPr="00396CDF" w:rsidRDefault="003334BB" w:rsidP="001D1DA3">
      <w:pPr>
        <w:ind w:left="720" w:hanging="720"/>
        <w:rPr>
          <w:rFonts w:ascii="Times New Roman" w:hAnsi="Times New Roman" w:cs="Times New Roman"/>
        </w:rPr>
      </w:pPr>
    </w:p>
    <w:p w14:paraId="5025767A" w14:textId="62EC79E4" w:rsidR="003334BB" w:rsidRPr="00396CDF" w:rsidRDefault="003334BB" w:rsidP="001D1DA3">
      <w:pPr>
        <w:ind w:left="720" w:hanging="720"/>
        <w:rPr>
          <w:rFonts w:ascii="Times New Roman" w:hAnsi="Times New Roman" w:cs="Times New Roman"/>
        </w:rPr>
      </w:pPr>
      <w:r w:rsidRPr="00396CDF">
        <w:rPr>
          <w:rFonts w:ascii="Times New Roman" w:hAnsi="Times New Roman" w:cs="Times New Roman"/>
        </w:rPr>
        <w:t xml:space="preserve">Luna, G. &amp; Fowler, M. (2011). Evaluation of Achieving a College Education Plus: A credit-based transition program. </w:t>
      </w:r>
      <w:proofErr w:type="gramStart"/>
      <w:r w:rsidRPr="00396CDF">
        <w:rPr>
          <w:rFonts w:ascii="Times New Roman" w:hAnsi="Times New Roman" w:cs="Times New Roman"/>
          <w:i/>
          <w:iCs/>
        </w:rPr>
        <w:t>Community College Journal of Research and Practice, 35</w:t>
      </w:r>
      <w:r w:rsidRPr="00396CDF">
        <w:rPr>
          <w:rFonts w:ascii="Times New Roman" w:hAnsi="Times New Roman" w:cs="Times New Roman"/>
        </w:rPr>
        <w:t>(9), 673-688.</w:t>
      </w:r>
      <w:proofErr w:type="gramEnd"/>
      <w:r w:rsidRPr="00396CDF">
        <w:rPr>
          <w:rFonts w:ascii="Times New Roman" w:hAnsi="Times New Roman" w:cs="Times New Roman"/>
        </w:rPr>
        <w:t xml:space="preserve"> </w:t>
      </w:r>
    </w:p>
    <w:p w14:paraId="3526A8DC" w14:textId="77777777" w:rsidR="003334BB" w:rsidRPr="00396CDF" w:rsidRDefault="003334BB" w:rsidP="001D1DA3">
      <w:pPr>
        <w:ind w:left="720" w:hanging="720"/>
        <w:rPr>
          <w:rFonts w:ascii="Times New Roman" w:hAnsi="Times New Roman" w:cs="Times New Roman"/>
        </w:rPr>
      </w:pPr>
    </w:p>
    <w:p w14:paraId="606D8824" w14:textId="483F081A" w:rsidR="00C73518" w:rsidRPr="00396CDF" w:rsidRDefault="00E23739" w:rsidP="001D1DA3">
      <w:pPr>
        <w:ind w:left="720" w:hanging="720"/>
        <w:rPr>
          <w:rFonts w:ascii="Times New Roman" w:hAnsi="Times New Roman" w:cs="Times New Roman"/>
        </w:rPr>
      </w:pPr>
      <w:r w:rsidRPr="00396CDF">
        <w:rPr>
          <w:rFonts w:ascii="Times New Roman" w:hAnsi="Times New Roman" w:cs="Times New Roman"/>
        </w:rPr>
        <w:t xml:space="preserve">Morgan, S. &amp; Winship, C. (2007). </w:t>
      </w:r>
      <w:r w:rsidRPr="00396CDF">
        <w:rPr>
          <w:rFonts w:ascii="Times New Roman" w:hAnsi="Times New Roman" w:cs="Times New Roman"/>
          <w:i/>
        </w:rPr>
        <w:t>Counterfactuals and causal inference: Methods and principles for social science research</w:t>
      </w:r>
      <w:r w:rsidRPr="00396CDF">
        <w:rPr>
          <w:rFonts w:ascii="Times New Roman" w:hAnsi="Times New Roman" w:cs="Times New Roman"/>
        </w:rPr>
        <w:t xml:space="preserve">. New York, NY: Cambridge University Press. </w:t>
      </w:r>
    </w:p>
    <w:p w14:paraId="2096BE9F" w14:textId="77777777" w:rsidR="001D1DA3" w:rsidRPr="00396CDF" w:rsidRDefault="001D1DA3" w:rsidP="001D1DA3">
      <w:pPr>
        <w:ind w:left="720" w:hanging="720"/>
        <w:rPr>
          <w:rFonts w:ascii="Times New Roman" w:hAnsi="Times New Roman" w:cs="Times New Roman"/>
        </w:rPr>
      </w:pPr>
    </w:p>
    <w:p w14:paraId="53B9A93C" w14:textId="4BE1CA58" w:rsidR="00E23739" w:rsidRPr="00396CDF" w:rsidRDefault="00E23739" w:rsidP="001D1DA3">
      <w:pPr>
        <w:ind w:left="720" w:hanging="720"/>
        <w:rPr>
          <w:rFonts w:ascii="Times New Roman" w:hAnsi="Times New Roman" w:cs="Times New Roman"/>
        </w:rPr>
      </w:pPr>
      <w:r w:rsidRPr="00396CDF">
        <w:rPr>
          <w:rFonts w:ascii="Times New Roman" w:hAnsi="Times New Roman" w:cs="Times New Roman"/>
        </w:rPr>
        <w:t xml:space="preserve">Murnane, R. J., &amp; Willett, J. B. (2011). Methods matter: Improving causal inference in educational and social science research. New York, NY: Oxford University Press. </w:t>
      </w:r>
    </w:p>
    <w:p w14:paraId="66C7F88A" w14:textId="77777777" w:rsidR="001D1DA3" w:rsidRPr="00396CDF" w:rsidRDefault="001D1DA3" w:rsidP="001D1DA3">
      <w:pPr>
        <w:ind w:left="720" w:hanging="720"/>
        <w:rPr>
          <w:rFonts w:ascii="Times New Roman" w:hAnsi="Times New Roman" w:cs="Times New Roman"/>
        </w:rPr>
      </w:pPr>
    </w:p>
    <w:p w14:paraId="0302EB0C" w14:textId="19DDCD97" w:rsidR="003334BB" w:rsidRPr="00396CDF" w:rsidRDefault="003334BB" w:rsidP="001D1DA3">
      <w:pPr>
        <w:ind w:left="720" w:hanging="720"/>
        <w:rPr>
          <w:rFonts w:ascii="Times New Roman" w:hAnsi="Times New Roman" w:cs="Times New Roman"/>
        </w:rPr>
      </w:pPr>
      <w:r w:rsidRPr="00396CDF">
        <w:rPr>
          <w:rFonts w:ascii="Times New Roman" w:hAnsi="Times New Roman" w:cs="Times New Roman"/>
        </w:rPr>
        <w:t xml:space="preserve">NACEP. (2013). What is Concurrent Enrollment? </w:t>
      </w:r>
      <w:proofErr w:type="gramStart"/>
      <w:r w:rsidRPr="00396CDF">
        <w:rPr>
          <w:rFonts w:ascii="Times New Roman" w:hAnsi="Times New Roman" w:cs="Times New Roman"/>
        </w:rPr>
        <w:t>National Alliance of Concurrent Enrollment Partnerships.</w:t>
      </w:r>
      <w:proofErr w:type="gramEnd"/>
      <w:r w:rsidRPr="00396CDF">
        <w:rPr>
          <w:rFonts w:ascii="Times New Roman" w:hAnsi="Times New Roman" w:cs="Times New Roman"/>
        </w:rPr>
        <w:t xml:space="preserve"> Retrieved from http://www.nacep.org/about-nacep/what-is-concurrent-enrollment/</w:t>
      </w:r>
    </w:p>
    <w:p w14:paraId="21FFECA0" w14:textId="77777777" w:rsidR="003334BB" w:rsidRPr="00396CDF" w:rsidRDefault="003334BB" w:rsidP="001D1DA3">
      <w:pPr>
        <w:ind w:left="720" w:hanging="720"/>
        <w:rPr>
          <w:rFonts w:ascii="Times New Roman" w:hAnsi="Times New Roman" w:cs="Times New Roman"/>
        </w:rPr>
      </w:pPr>
    </w:p>
    <w:p w14:paraId="782C26F8" w14:textId="77777777" w:rsidR="00E23739" w:rsidRPr="00396CDF" w:rsidRDefault="00E23739" w:rsidP="00E23739">
      <w:pPr>
        <w:widowControl w:val="0"/>
        <w:tabs>
          <w:tab w:val="left" w:pos="220"/>
          <w:tab w:val="left" w:pos="720"/>
        </w:tabs>
        <w:autoSpaceDE w:val="0"/>
        <w:autoSpaceDN w:val="0"/>
        <w:adjustRightInd w:val="0"/>
        <w:ind w:left="720" w:hanging="720"/>
        <w:rPr>
          <w:rFonts w:ascii="Times New Roman" w:hAnsi="Times New Roman" w:cs="Times New Roman"/>
        </w:rPr>
      </w:pPr>
      <w:r w:rsidRPr="00396CDF">
        <w:rPr>
          <w:rFonts w:ascii="Times New Roman" w:hAnsi="Times New Roman" w:cs="Times New Roman"/>
        </w:rPr>
        <w:t xml:space="preserve">Reardon, S. F., Cheadle, J. E., &amp; Robinson, J. P. (2009). The effects of Catholic school attendance on reading and math achievement in kindergarten through fifth grade. </w:t>
      </w:r>
      <w:proofErr w:type="gramStart"/>
      <w:r w:rsidRPr="00396CDF">
        <w:rPr>
          <w:rFonts w:ascii="Times New Roman" w:hAnsi="Times New Roman" w:cs="Times New Roman"/>
          <w:i/>
          <w:iCs/>
        </w:rPr>
        <w:t>Journal of Research on Educational Effectiveness, 2</w:t>
      </w:r>
      <w:r w:rsidRPr="00396CDF">
        <w:rPr>
          <w:rFonts w:ascii="Times New Roman" w:hAnsi="Times New Roman" w:cs="Times New Roman"/>
          <w:iCs/>
        </w:rPr>
        <w:t>(1)</w:t>
      </w:r>
      <w:r w:rsidRPr="00396CDF">
        <w:rPr>
          <w:rFonts w:ascii="Times New Roman" w:hAnsi="Times New Roman" w:cs="Times New Roman"/>
          <w:i/>
          <w:iCs/>
        </w:rPr>
        <w:t xml:space="preserve">, </w:t>
      </w:r>
      <w:r w:rsidRPr="00396CDF">
        <w:rPr>
          <w:rFonts w:ascii="Times New Roman" w:hAnsi="Times New Roman" w:cs="Times New Roman"/>
        </w:rPr>
        <w:t>45-87.</w:t>
      </w:r>
      <w:proofErr w:type="gramEnd"/>
      <w:r w:rsidRPr="00396CDF">
        <w:rPr>
          <w:rFonts w:ascii="Times New Roman" w:hAnsi="Times New Roman" w:cs="Times New Roman"/>
        </w:rPr>
        <w:t xml:space="preserve"> </w:t>
      </w:r>
    </w:p>
    <w:p w14:paraId="650CC423" w14:textId="77777777" w:rsidR="00C73518" w:rsidRPr="00396CDF" w:rsidRDefault="00C73518" w:rsidP="00E23739">
      <w:pPr>
        <w:ind w:left="720" w:hanging="720"/>
        <w:rPr>
          <w:rFonts w:ascii="Times New Roman" w:hAnsi="Times New Roman" w:cs="Times New Roman"/>
        </w:rPr>
      </w:pPr>
    </w:p>
    <w:p w14:paraId="3B734B4A" w14:textId="77777777" w:rsidR="00E23739" w:rsidRPr="00396CDF" w:rsidRDefault="00E23739" w:rsidP="00E23739">
      <w:pPr>
        <w:ind w:left="720" w:hanging="720"/>
        <w:rPr>
          <w:rFonts w:ascii="Times New Roman" w:hAnsi="Times New Roman" w:cs="Times New Roman"/>
        </w:rPr>
      </w:pPr>
      <w:r w:rsidRPr="00396CDF">
        <w:rPr>
          <w:rFonts w:ascii="Times New Roman" w:hAnsi="Times New Roman" w:cs="Times New Roman"/>
        </w:rPr>
        <w:t xml:space="preserve">Rosenbaum, P. R., &amp; Rubin, D. (1983). </w:t>
      </w:r>
      <w:proofErr w:type="gramStart"/>
      <w:r w:rsidRPr="00396CDF">
        <w:rPr>
          <w:rFonts w:ascii="Times New Roman" w:hAnsi="Times New Roman" w:cs="Times New Roman"/>
        </w:rPr>
        <w:t>The central role of the propensity score in observational studies for causal effects.</w:t>
      </w:r>
      <w:proofErr w:type="gramEnd"/>
      <w:r w:rsidRPr="00396CDF">
        <w:rPr>
          <w:rFonts w:ascii="Times New Roman" w:hAnsi="Times New Roman" w:cs="Times New Roman"/>
        </w:rPr>
        <w:t xml:space="preserve"> </w:t>
      </w:r>
      <w:proofErr w:type="gramStart"/>
      <w:r w:rsidRPr="00396CDF">
        <w:rPr>
          <w:rFonts w:ascii="Times New Roman" w:hAnsi="Times New Roman" w:cs="Times New Roman"/>
          <w:i/>
        </w:rPr>
        <w:t>Biometrika, 70</w:t>
      </w:r>
      <w:r w:rsidRPr="00396CDF">
        <w:rPr>
          <w:rFonts w:ascii="Times New Roman" w:hAnsi="Times New Roman" w:cs="Times New Roman"/>
        </w:rPr>
        <w:t>, 41-55.</w:t>
      </w:r>
      <w:proofErr w:type="gramEnd"/>
      <w:r w:rsidRPr="00396CDF">
        <w:rPr>
          <w:rFonts w:ascii="Times New Roman" w:hAnsi="Times New Roman" w:cs="Times New Roman"/>
        </w:rPr>
        <w:t xml:space="preserve"> </w:t>
      </w:r>
    </w:p>
    <w:p w14:paraId="35CD649B" w14:textId="77777777" w:rsidR="00C73518" w:rsidRPr="00396CDF" w:rsidRDefault="00C73518" w:rsidP="00C73518">
      <w:pPr>
        <w:ind w:left="720" w:hanging="720"/>
        <w:rPr>
          <w:rFonts w:ascii="Times New Roman" w:hAnsi="Times New Roman" w:cs="Times New Roman"/>
        </w:rPr>
      </w:pPr>
    </w:p>
    <w:p w14:paraId="3DA69A31" w14:textId="1EC9FAE1" w:rsidR="00CB09B0" w:rsidRPr="00396CDF" w:rsidRDefault="003334BB" w:rsidP="00CB09B0">
      <w:pPr>
        <w:ind w:left="720" w:hanging="720"/>
        <w:rPr>
          <w:rFonts w:ascii="Times New Roman" w:hAnsi="Times New Roman" w:cs="Times New Roman"/>
        </w:rPr>
      </w:pPr>
      <w:r w:rsidRPr="00396CDF">
        <w:rPr>
          <w:rFonts w:ascii="Times New Roman" w:hAnsi="Times New Roman" w:cs="Times New Roman"/>
        </w:rPr>
        <w:t>Schmidtlein, &amp; Berdahl, R. O. (2005). Autonomy and Accoun</w:t>
      </w:r>
      <w:r w:rsidR="00CB09B0" w:rsidRPr="00396CDF">
        <w:rPr>
          <w:rFonts w:ascii="Times New Roman" w:hAnsi="Times New Roman" w:cs="Times New Roman"/>
        </w:rPr>
        <w:t>tability: Who Controls Academe.</w:t>
      </w:r>
      <w:r w:rsidRPr="00396CDF">
        <w:rPr>
          <w:rFonts w:ascii="Times New Roman" w:hAnsi="Times New Roman" w:cs="Times New Roman"/>
        </w:rPr>
        <w:t xml:space="preserve"> </w:t>
      </w:r>
      <w:r w:rsidR="00CB09B0" w:rsidRPr="00396CDF">
        <w:rPr>
          <w:rFonts w:ascii="Times New Roman" w:hAnsi="Times New Roman" w:cs="Times New Roman"/>
        </w:rPr>
        <w:t xml:space="preserve">In P. Altbach, R. O. Berdahl, &amp; P. J. Gumport. (Eds).  </w:t>
      </w:r>
      <w:r w:rsidR="00CB09B0" w:rsidRPr="00396CDF">
        <w:rPr>
          <w:rFonts w:ascii="Times New Roman" w:hAnsi="Times New Roman" w:cs="Times New Roman"/>
          <w:i/>
          <w:iCs/>
        </w:rPr>
        <w:t>American higher education in the twenty-first century: Social, Political, and Economic Challenges (2</w:t>
      </w:r>
      <w:r w:rsidR="00CB09B0" w:rsidRPr="00396CDF">
        <w:rPr>
          <w:rFonts w:ascii="Times New Roman" w:hAnsi="Times New Roman" w:cs="Times New Roman"/>
          <w:i/>
          <w:iCs/>
          <w:vertAlign w:val="superscript"/>
        </w:rPr>
        <w:t>nd</w:t>
      </w:r>
      <w:r w:rsidR="00CB09B0" w:rsidRPr="00396CDF">
        <w:rPr>
          <w:rFonts w:ascii="Times New Roman" w:hAnsi="Times New Roman" w:cs="Times New Roman"/>
          <w:i/>
          <w:iCs/>
        </w:rPr>
        <w:t xml:space="preserve"> ed.).  </w:t>
      </w:r>
      <w:r w:rsidR="00CB09B0" w:rsidRPr="00396CDF">
        <w:rPr>
          <w:rFonts w:ascii="Times New Roman" w:hAnsi="Times New Roman" w:cs="Times New Roman"/>
        </w:rPr>
        <w:t>Baltimore, MD: The Johns Hopkins University Press.</w:t>
      </w:r>
    </w:p>
    <w:p w14:paraId="74DEDA95" w14:textId="77777777" w:rsidR="003334BB" w:rsidRPr="00396CDF" w:rsidRDefault="003334BB" w:rsidP="00CB09B0">
      <w:pPr>
        <w:rPr>
          <w:rFonts w:ascii="Times New Roman" w:hAnsi="Times New Roman" w:cs="Times New Roman"/>
        </w:rPr>
      </w:pPr>
    </w:p>
    <w:p w14:paraId="701C1034" w14:textId="11F6F950" w:rsidR="00E23739" w:rsidRPr="00396CDF" w:rsidRDefault="00E23739" w:rsidP="00C73518">
      <w:pPr>
        <w:ind w:left="720" w:hanging="720"/>
        <w:rPr>
          <w:rFonts w:ascii="Times New Roman" w:hAnsi="Times New Roman" w:cs="Times New Roman"/>
        </w:rPr>
      </w:pPr>
      <w:r w:rsidRPr="00396CDF">
        <w:rPr>
          <w:rFonts w:ascii="Times New Roman" w:hAnsi="Times New Roman" w:cs="Times New Roman"/>
        </w:rPr>
        <w:t xml:space="preserve">Shadish, W. R., Cook, T. D., &amp; Campbell, D. T. (2002). </w:t>
      </w:r>
      <w:r w:rsidRPr="00396CDF">
        <w:rPr>
          <w:rFonts w:ascii="Times New Roman" w:hAnsi="Times New Roman" w:cs="Times New Roman"/>
          <w:i/>
        </w:rPr>
        <w:t>Experimental and quasi-experimental designs for generalized causal inference</w:t>
      </w:r>
      <w:r w:rsidRPr="00396CDF">
        <w:rPr>
          <w:rFonts w:ascii="Times New Roman" w:hAnsi="Times New Roman" w:cs="Times New Roman"/>
        </w:rPr>
        <w:t>. Boston, MA: Houghton Mifflin Company.</w:t>
      </w:r>
    </w:p>
    <w:p w14:paraId="301C6E5B" w14:textId="77777777" w:rsidR="001D1DA3" w:rsidRPr="00396CDF" w:rsidRDefault="001D1DA3" w:rsidP="00C73518">
      <w:pPr>
        <w:ind w:left="720" w:hanging="720"/>
        <w:rPr>
          <w:rFonts w:ascii="Times New Roman" w:hAnsi="Times New Roman" w:cs="Times New Roman"/>
        </w:rPr>
      </w:pPr>
    </w:p>
    <w:p w14:paraId="23996BBF" w14:textId="335F4949" w:rsidR="00C73518" w:rsidRPr="00396CDF" w:rsidRDefault="00DE238A" w:rsidP="00C73518">
      <w:pPr>
        <w:ind w:left="720" w:hanging="720"/>
        <w:rPr>
          <w:rFonts w:ascii="Times New Roman" w:hAnsi="Times New Roman" w:cs="Times New Roman"/>
        </w:rPr>
      </w:pPr>
      <w:proofErr w:type="gramStart"/>
      <w:r w:rsidRPr="00396CDF">
        <w:rPr>
          <w:rFonts w:ascii="Times New Roman" w:hAnsi="Times New Roman" w:cs="Times New Roman"/>
        </w:rPr>
        <w:t>Shaughnessy, T. T. (2009).</w:t>
      </w:r>
      <w:proofErr w:type="gramEnd"/>
      <w:r w:rsidRPr="00396CDF">
        <w:rPr>
          <w:rFonts w:ascii="Times New Roman" w:hAnsi="Times New Roman" w:cs="Times New Roman"/>
        </w:rPr>
        <w:t xml:space="preserve"> </w:t>
      </w:r>
      <w:r w:rsidRPr="00396CDF">
        <w:rPr>
          <w:rFonts w:ascii="Times New Roman" w:hAnsi="Times New Roman" w:cs="Times New Roman"/>
          <w:i/>
          <w:iCs/>
        </w:rPr>
        <w:t>An investigation of high school dual enrollment participation, year-to-year college retention levels, and bachelor’s degree attainment within four years in the Commonwealth of Kentucky</w:t>
      </w:r>
      <w:r w:rsidRPr="00396CDF">
        <w:rPr>
          <w:rFonts w:ascii="Times New Roman" w:hAnsi="Times New Roman" w:cs="Times New Roman"/>
        </w:rPr>
        <w:t xml:space="preserve">. </w:t>
      </w:r>
      <w:proofErr w:type="gramStart"/>
      <w:r w:rsidRPr="00396CDF">
        <w:rPr>
          <w:rFonts w:ascii="Times New Roman" w:hAnsi="Times New Roman" w:cs="Times New Roman"/>
        </w:rPr>
        <w:t>Doctoral Dissertation, Spalding University).</w:t>
      </w:r>
      <w:proofErr w:type="gramEnd"/>
      <w:r w:rsidRPr="00396CDF">
        <w:rPr>
          <w:rFonts w:ascii="Times New Roman" w:hAnsi="Times New Roman" w:cs="Times New Roman"/>
        </w:rPr>
        <w:t xml:space="preserve"> Retrieved from ProQuest Dissertation &amp; Theses. </w:t>
      </w:r>
      <w:proofErr w:type="gramStart"/>
      <w:r w:rsidRPr="00396CDF">
        <w:rPr>
          <w:rFonts w:ascii="Times New Roman" w:hAnsi="Times New Roman" w:cs="Times New Roman"/>
        </w:rPr>
        <w:t>(UMI Dissertation 3356387).</w:t>
      </w:r>
      <w:proofErr w:type="gramEnd"/>
    </w:p>
    <w:p w14:paraId="4DC27179" w14:textId="77777777" w:rsidR="001D1DA3" w:rsidRPr="00396CDF" w:rsidRDefault="001D1DA3" w:rsidP="00C73518">
      <w:pPr>
        <w:ind w:left="720" w:hanging="720"/>
        <w:rPr>
          <w:rFonts w:ascii="Times New Roman" w:hAnsi="Times New Roman" w:cs="Times New Roman"/>
          <w:color w:val="000000"/>
        </w:rPr>
      </w:pPr>
    </w:p>
    <w:p w14:paraId="6EBD9B50" w14:textId="7AFC3A81" w:rsidR="00637AE3" w:rsidRPr="00396CDF" w:rsidRDefault="00637AE3" w:rsidP="00C73518">
      <w:pPr>
        <w:ind w:left="720" w:hanging="720"/>
        <w:rPr>
          <w:rFonts w:ascii="Times New Roman" w:hAnsi="Times New Roman" w:cs="Times New Roman"/>
        </w:rPr>
      </w:pPr>
      <w:r w:rsidRPr="00396CDF">
        <w:rPr>
          <w:rFonts w:ascii="Times New Roman" w:hAnsi="Times New Roman" w:cs="Times New Roman"/>
        </w:rPr>
        <w:t xml:space="preserve">Smith, D. (2007). Why expand dual-credit programs? </w:t>
      </w:r>
      <w:proofErr w:type="gramStart"/>
      <w:r w:rsidRPr="00396CDF">
        <w:rPr>
          <w:rFonts w:ascii="Times New Roman" w:hAnsi="Times New Roman" w:cs="Times New Roman"/>
          <w:i/>
          <w:iCs/>
        </w:rPr>
        <w:t xml:space="preserve">Community College Journal of Research and Practice, 31(5), </w:t>
      </w:r>
      <w:r w:rsidRPr="00396CDF">
        <w:rPr>
          <w:rFonts w:ascii="Times New Roman" w:hAnsi="Times New Roman" w:cs="Times New Roman"/>
        </w:rPr>
        <w:t>371-387.</w:t>
      </w:r>
      <w:proofErr w:type="gramEnd"/>
    </w:p>
    <w:p w14:paraId="378815AF" w14:textId="77777777" w:rsidR="001D1DA3" w:rsidRPr="00396CDF" w:rsidRDefault="001D1DA3" w:rsidP="00C73518">
      <w:pPr>
        <w:ind w:left="720" w:hanging="720"/>
        <w:rPr>
          <w:rFonts w:ascii="Times New Roman" w:hAnsi="Times New Roman" w:cs="Times New Roman"/>
        </w:rPr>
      </w:pPr>
    </w:p>
    <w:p w14:paraId="0796FDA5" w14:textId="468D458F" w:rsidR="00DE238A" w:rsidRPr="00396CDF" w:rsidRDefault="00DE238A" w:rsidP="00C73518">
      <w:pPr>
        <w:ind w:left="720" w:hanging="720"/>
        <w:rPr>
          <w:rFonts w:ascii="Times New Roman" w:hAnsi="Times New Roman" w:cs="Times New Roman"/>
        </w:rPr>
      </w:pPr>
      <w:r w:rsidRPr="00396CDF">
        <w:rPr>
          <w:rFonts w:ascii="Times New Roman" w:hAnsi="Times New Roman" w:cs="Times New Roman"/>
        </w:rPr>
        <w:t xml:space="preserve">Speroni, C. (2011). </w:t>
      </w:r>
      <w:r w:rsidRPr="00396CDF">
        <w:rPr>
          <w:rFonts w:ascii="Times New Roman" w:hAnsi="Times New Roman" w:cs="Times New Roman"/>
          <w:i/>
          <w:iCs/>
        </w:rPr>
        <w:t xml:space="preserve">Determinants of Students’ Success: The Role of Advanced Placement and Dual Enrollment Programs. </w:t>
      </w:r>
      <w:r w:rsidRPr="00396CDF">
        <w:rPr>
          <w:rFonts w:ascii="Times New Roman" w:hAnsi="Times New Roman" w:cs="Times New Roman"/>
        </w:rPr>
        <w:t>National Center for Postsecondary Research, Teachers College, Columbia University.</w:t>
      </w:r>
    </w:p>
    <w:p w14:paraId="7AB4B589" w14:textId="77777777" w:rsidR="001D1DA3" w:rsidRPr="00396CDF" w:rsidRDefault="001D1DA3" w:rsidP="00C73518">
      <w:pPr>
        <w:ind w:left="720" w:hanging="720"/>
        <w:rPr>
          <w:rFonts w:ascii="Times New Roman" w:hAnsi="Times New Roman" w:cs="Times New Roman"/>
          <w:color w:val="000000"/>
        </w:rPr>
      </w:pPr>
    </w:p>
    <w:p w14:paraId="388C547D" w14:textId="01768428" w:rsidR="00DE238A" w:rsidRPr="00396CDF" w:rsidRDefault="00DE238A" w:rsidP="00C80BA8">
      <w:pPr>
        <w:pStyle w:val="Default"/>
        <w:ind w:left="720" w:hanging="720"/>
        <w:rPr>
          <w:color w:val="auto"/>
        </w:rPr>
      </w:pPr>
      <w:r w:rsidRPr="00396CDF">
        <w:t xml:space="preserve">Struhl, B. &amp; Vargas, J. (2012). Taking college courses in high school: A strategy for </w:t>
      </w:r>
      <w:r w:rsidRPr="00396CDF">
        <w:rPr>
          <w:color w:val="auto"/>
        </w:rPr>
        <w:t xml:space="preserve">college readiness: The college outcomes of dual enrollment in Texas. </w:t>
      </w:r>
      <w:proofErr w:type="gramStart"/>
      <w:r w:rsidRPr="00396CDF">
        <w:rPr>
          <w:color w:val="auto"/>
        </w:rPr>
        <w:t>Jobs for the Future.</w:t>
      </w:r>
      <w:proofErr w:type="gramEnd"/>
      <w:r w:rsidRPr="00396CDF">
        <w:rPr>
          <w:color w:val="auto"/>
        </w:rPr>
        <w:t xml:space="preserve"> Retrieved from </w:t>
      </w:r>
      <w:hyperlink r:id="rId10" w:history="1">
        <w:r w:rsidR="001D1DA3" w:rsidRPr="00396CDF">
          <w:rPr>
            <w:rStyle w:val="Hyperlink"/>
          </w:rPr>
          <w:t>http://www.jff.org/</w:t>
        </w:r>
      </w:hyperlink>
    </w:p>
    <w:p w14:paraId="01A5363E" w14:textId="77777777" w:rsidR="001D1DA3" w:rsidRPr="00396CDF" w:rsidRDefault="001D1DA3" w:rsidP="001D1DA3">
      <w:pPr>
        <w:pStyle w:val="Default"/>
      </w:pPr>
    </w:p>
    <w:p w14:paraId="6C2321BC" w14:textId="08AF065C" w:rsidR="00DE238A" w:rsidRPr="00396CDF" w:rsidRDefault="00DE238A" w:rsidP="00C73518">
      <w:pPr>
        <w:ind w:left="720" w:hanging="720"/>
        <w:rPr>
          <w:rFonts w:ascii="Times New Roman" w:hAnsi="Times New Roman" w:cs="Times New Roman"/>
        </w:rPr>
      </w:pPr>
      <w:r w:rsidRPr="00396CDF">
        <w:rPr>
          <w:rFonts w:ascii="Times New Roman" w:hAnsi="Times New Roman" w:cs="Times New Roman"/>
        </w:rPr>
        <w:lastRenderedPageBreak/>
        <w:t xml:space="preserve">Swanson, J. (2008). </w:t>
      </w:r>
      <w:proofErr w:type="gramStart"/>
      <w:r w:rsidRPr="00396CDF">
        <w:rPr>
          <w:rFonts w:ascii="Times New Roman" w:hAnsi="Times New Roman" w:cs="Times New Roman"/>
          <w:i/>
          <w:iCs/>
        </w:rPr>
        <w:t xml:space="preserve">An analysis of the impact of high school dual enrollment course participation on post-secondary academic success, persistence and degree completion </w:t>
      </w:r>
      <w:r w:rsidRPr="00396CDF">
        <w:rPr>
          <w:rFonts w:ascii="Times New Roman" w:hAnsi="Times New Roman" w:cs="Times New Roman"/>
        </w:rPr>
        <w:t>(Doctoral dissertation, University of Iowa).</w:t>
      </w:r>
      <w:proofErr w:type="gramEnd"/>
      <w:r w:rsidRPr="00396CDF">
        <w:rPr>
          <w:rFonts w:ascii="Times New Roman" w:hAnsi="Times New Roman" w:cs="Times New Roman"/>
        </w:rPr>
        <w:t xml:space="preserve"> Retrieved from ProQuest Dissertation &amp; Theses. (UMI Number: 3323472).</w:t>
      </w:r>
    </w:p>
    <w:p w14:paraId="052263E5" w14:textId="77777777" w:rsidR="001D1DA3" w:rsidRPr="00396CDF" w:rsidRDefault="001D1DA3" w:rsidP="00C73518">
      <w:pPr>
        <w:ind w:left="720" w:hanging="720"/>
        <w:rPr>
          <w:rFonts w:ascii="Times New Roman" w:hAnsi="Times New Roman" w:cs="Times New Roman"/>
          <w:color w:val="000000"/>
        </w:rPr>
      </w:pPr>
    </w:p>
    <w:p w14:paraId="1AD21652" w14:textId="46A3FCAE" w:rsidR="00DE238A" w:rsidRPr="00396CDF" w:rsidRDefault="001E6AC6" w:rsidP="00C80BA8">
      <w:pPr>
        <w:widowControl w:val="0"/>
        <w:autoSpaceDE w:val="0"/>
        <w:autoSpaceDN w:val="0"/>
        <w:adjustRightInd w:val="0"/>
        <w:ind w:left="720" w:hanging="720"/>
        <w:rPr>
          <w:rFonts w:ascii="Times New Roman" w:hAnsi="Times New Roman" w:cs="Times New Roman"/>
        </w:rPr>
      </w:pPr>
      <w:r w:rsidRPr="00396CDF">
        <w:rPr>
          <w:rFonts w:ascii="Times New Roman" w:hAnsi="Times New Roman" w:cs="Times New Roman"/>
        </w:rPr>
        <w:t xml:space="preserve">Taylor, J. L. (2013). Community college dual credit: Differential participation and differential impacts on college access and success (unpublished doctoral dissertation). </w:t>
      </w:r>
      <w:proofErr w:type="gramStart"/>
      <w:r w:rsidRPr="00396CDF">
        <w:rPr>
          <w:rFonts w:ascii="Times New Roman" w:hAnsi="Times New Roman" w:cs="Times New Roman"/>
        </w:rPr>
        <w:t>University of Illinois at Urbana-Champaign.</w:t>
      </w:r>
      <w:proofErr w:type="gramEnd"/>
    </w:p>
    <w:p w14:paraId="038202E6" w14:textId="77777777" w:rsidR="001E6AC6" w:rsidRPr="00396CDF" w:rsidRDefault="001E6AC6" w:rsidP="00C73518">
      <w:pPr>
        <w:ind w:left="720" w:hanging="720"/>
        <w:rPr>
          <w:rFonts w:ascii="Times New Roman" w:hAnsi="Times New Roman" w:cs="Times New Roman"/>
          <w:color w:val="000000"/>
        </w:rPr>
      </w:pPr>
    </w:p>
    <w:p w14:paraId="0A0F9070" w14:textId="4AC731AD" w:rsidR="00057862" w:rsidRPr="00396CDF" w:rsidRDefault="00057862" w:rsidP="00C73518">
      <w:pPr>
        <w:ind w:left="720" w:hanging="720"/>
        <w:rPr>
          <w:rFonts w:ascii="Times New Roman" w:hAnsi="Times New Roman" w:cs="Times New Roman"/>
          <w:color w:val="000000"/>
        </w:rPr>
      </w:pPr>
      <w:proofErr w:type="gramStart"/>
      <w:r w:rsidRPr="00396CDF">
        <w:rPr>
          <w:rFonts w:ascii="Times New Roman" w:hAnsi="Times New Roman" w:cs="Times New Roman"/>
          <w:color w:val="000000"/>
        </w:rPr>
        <w:t>Thomas, N., Marken, S., Gray, L., &amp; Lewis, L. (2013).</w:t>
      </w:r>
      <w:proofErr w:type="gramEnd"/>
      <w:r w:rsidRPr="00396CDF">
        <w:rPr>
          <w:rFonts w:ascii="Times New Roman" w:hAnsi="Times New Roman" w:cs="Times New Roman"/>
          <w:color w:val="000000"/>
        </w:rPr>
        <w:t xml:space="preserve"> </w:t>
      </w:r>
      <w:r w:rsidR="0007377C" w:rsidRPr="00396CDF">
        <w:rPr>
          <w:rFonts w:ascii="Times New Roman" w:hAnsi="Times New Roman" w:cs="Times New Roman"/>
          <w:i/>
          <w:iCs/>
          <w:color w:val="000000"/>
        </w:rPr>
        <w:t>Dual credit and exam-based courses in U.S. public high schools</w:t>
      </w:r>
      <w:proofErr w:type="gramStart"/>
      <w:r w:rsidR="0007377C" w:rsidRPr="00396CDF">
        <w:rPr>
          <w:rFonts w:ascii="Times New Roman" w:hAnsi="Times New Roman" w:cs="Times New Roman"/>
          <w:i/>
          <w:iCs/>
          <w:color w:val="000000"/>
        </w:rPr>
        <w:t>:_</w:t>
      </w:r>
      <w:proofErr w:type="gramEnd"/>
      <w:r w:rsidR="0007377C" w:rsidRPr="00396CDF">
        <w:rPr>
          <w:rFonts w:ascii="Times New Roman" w:hAnsi="Times New Roman" w:cs="Times New Roman"/>
          <w:i/>
          <w:iCs/>
          <w:color w:val="000000"/>
        </w:rPr>
        <w:t>2010–11</w:t>
      </w:r>
      <w:r w:rsidRPr="00396CDF">
        <w:rPr>
          <w:rFonts w:ascii="Times New Roman" w:hAnsi="Times New Roman" w:cs="Times New Roman"/>
          <w:color w:val="000000"/>
        </w:rPr>
        <w:t>(NCES 2013-001). Retrieved from National Center for Education Statistics Website: http://nces.ed.gov/ pubsearch/pubsinfo.asp</w:t>
      </w:r>
      <w:proofErr w:type="gramStart"/>
      <w:r w:rsidRPr="00396CDF">
        <w:rPr>
          <w:rFonts w:ascii="Times New Roman" w:hAnsi="Times New Roman" w:cs="Times New Roman"/>
          <w:color w:val="000000"/>
        </w:rPr>
        <w:t>?pubid</w:t>
      </w:r>
      <w:proofErr w:type="gramEnd"/>
      <w:r w:rsidRPr="00396CDF">
        <w:rPr>
          <w:rFonts w:ascii="Times New Roman" w:hAnsi="Times New Roman" w:cs="Times New Roman"/>
          <w:color w:val="000000"/>
        </w:rPr>
        <w:t>=2013001</w:t>
      </w:r>
    </w:p>
    <w:p w14:paraId="4FC74545" w14:textId="77777777" w:rsidR="00C73518" w:rsidRPr="00396CDF" w:rsidRDefault="00C73518" w:rsidP="00C73518">
      <w:pPr>
        <w:ind w:left="720" w:hanging="720"/>
        <w:rPr>
          <w:rFonts w:ascii="Times New Roman" w:hAnsi="Times New Roman" w:cs="Times New Roman"/>
          <w:color w:val="000000"/>
        </w:rPr>
      </w:pPr>
    </w:p>
    <w:p w14:paraId="143EAAC3" w14:textId="56C99BDA" w:rsidR="0007377C" w:rsidRPr="00396CDF" w:rsidRDefault="0007377C" w:rsidP="00C73518">
      <w:pPr>
        <w:ind w:left="720" w:hanging="720"/>
        <w:rPr>
          <w:rFonts w:ascii="Times New Roman" w:hAnsi="Times New Roman" w:cs="Times New Roman"/>
          <w:color w:val="000000"/>
        </w:rPr>
      </w:pPr>
      <w:proofErr w:type="gramStart"/>
      <w:r w:rsidRPr="00396CDF">
        <w:rPr>
          <w:rFonts w:ascii="Times New Roman" w:hAnsi="Times New Roman" w:cs="Times New Roman"/>
          <w:color w:val="000000"/>
        </w:rPr>
        <w:t>Waits, T., Setzer, J.C., and Lewis, L. (2005).</w:t>
      </w:r>
      <w:proofErr w:type="gramEnd"/>
      <w:r w:rsidR="00057862" w:rsidRPr="00396CDF">
        <w:rPr>
          <w:rFonts w:ascii="Times New Roman" w:hAnsi="Times New Roman" w:cs="Times New Roman"/>
          <w:color w:val="000000"/>
        </w:rPr>
        <w:t xml:space="preserve"> </w:t>
      </w:r>
      <w:r w:rsidRPr="00396CDF">
        <w:rPr>
          <w:rFonts w:ascii="Times New Roman" w:hAnsi="Times New Roman" w:cs="Times New Roman"/>
          <w:i/>
          <w:iCs/>
          <w:color w:val="000000"/>
        </w:rPr>
        <w:t>Dual credit and exam-based courses in U.S. public high</w:t>
      </w:r>
      <w:r w:rsidR="00057862" w:rsidRPr="00396CDF">
        <w:rPr>
          <w:rFonts w:ascii="Times New Roman" w:hAnsi="Times New Roman" w:cs="Times New Roman"/>
          <w:i/>
          <w:iCs/>
          <w:color w:val="000000"/>
        </w:rPr>
        <w:t xml:space="preserve"> </w:t>
      </w:r>
      <w:r w:rsidRPr="00396CDF">
        <w:rPr>
          <w:rFonts w:ascii="Times New Roman" w:hAnsi="Times New Roman" w:cs="Times New Roman"/>
          <w:i/>
          <w:iCs/>
          <w:color w:val="000000"/>
        </w:rPr>
        <w:t>schools: 2002–03</w:t>
      </w:r>
      <w:r w:rsidR="00057862" w:rsidRPr="00396CDF">
        <w:rPr>
          <w:rFonts w:ascii="Times New Roman" w:hAnsi="Times New Roman" w:cs="Times New Roman"/>
          <w:i/>
          <w:iCs/>
          <w:color w:val="000000"/>
        </w:rPr>
        <w:t xml:space="preserve"> </w:t>
      </w:r>
      <w:r w:rsidRPr="00396CDF">
        <w:rPr>
          <w:rFonts w:ascii="Times New Roman" w:hAnsi="Times New Roman" w:cs="Times New Roman"/>
          <w:color w:val="000000"/>
        </w:rPr>
        <w:t>(NCES 20</w:t>
      </w:r>
      <w:r w:rsidR="00057862" w:rsidRPr="00396CDF">
        <w:rPr>
          <w:rFonts w:ascii="Times New Roman" w:hAnsi="Times New Roman" w:cs="Times New Roman"/>
          <w:color w:val="000000"/>
        </w:rPr>
        <w:t>0</w:t>
      </w:r>
      <w:r w:rsidRPr="00396CDF">
        <w:rPr>
          <w:rFonts w:ascii="Times New Roman" w:hAnsi="Times New Roman" w:cs="Times New Roman"/>
          <w:color w:val="000000"/>
        </w:rPr>
        <w:t xml:space="preserve">5–009). </w:t>
      </w:r>
      <w:proofErr w:type="gramStart"/>
      <w:r w:rsidRPr="00396CDF">
        <w:rPr>
          <w:rFonts w:ascii="Times New Roman" w:hAnsi="Times New Roman" w:cs="Times New Roman"/>
          <w:color w:val="000000"/>
        </w:rPr>
        <w:t>U.S. Department of Education.</w:t>
      </w:r>
      <w:proofErr w:type="gramEnd"/>
      <w:r w:rsidRPr="00396CDF">
        <w:rPr>
          <w:rFonts w:ascii="Times New Roman" w:hAnsi="Times New Roman" w:cs="Times New Roman"/>
          <w:color w:val="000000"/>
        </w:rPr>
        <w:t xml:space="preserve"> Washington, DC: National Center for Education Statistics.</w:t>
      </w:r>
    </w:p>
    <w:p w14:paraId="2AB93B77" w14:textId="77777777" w:rsidR="00C73518" w:rsidRPr="00396CDF" w:rsidRDefault="00C73518" w:rsidP="00C73518">
      <w:pPr>
        <w:ind w:left="720" w:hanging="720"/>
        <w:rPr>
          <w:rFonts w:ascii="Times New Roman" w:hAnsi="Times New Roman" w:cs="Times New Roman"/>
          <w:color w:val="000000"/>
        </w:rPr>
      </w:pPr>
    </w:p>
    <w:p w14:paraId="632A4115" w14:textId="670FA1F0" w:rsidR="00DE238A" w:rsidRPr="00396CDF" w:rsidRDefault="00DE238A" w:rsidP="00C73518">
      <w:pPr>
        <w:ind w:left="720" w:hanging="720"/>
        <w:rPr>
          <w:rFonts w:ascii="Times New Roman" w:hAnsi="Times New Roman" w:cs="Times New Roman"/>
          <w:color w:val="000000"/>
        </w:rPr>
      </w:pPr>
      <w:r w:rsidRPr="00396CDF">
        <w:rPr>
          <w:rFonts w:ascii="Times New Roman" w:hAnsi="Times New Roman" w:cs="Times New Roman"/>
        </w:rPr>
        <w:t xml:space="preserve">Westcott, P. A. (2009). </w:t>
      </w:r>
      <w:proofErr w:type="gramStart"/>
      <w:r w:rsidRPr="00396CDF">
        <w:rPr>
          <w:rFonts w:ascii="Times New Roman" w:hAnsi="Times New Roman" w:cs="Times New Roman"/>
          <w:i/>
          <w:iCs/>
        </w:rPr>
        <w:t>The impact of dual enrollment participation on degree attainment</w:t>
      </w:r>
      <w:r w:rsidRPr="00396CDF">
        <w:rPr>
          <w:rFonts w:ascii="Times New Roman" w:hAnsi="Times New Roman" w:cs="Times New Roman"/>
        </w:rPr>
        <w:t>.</w:t>
      </w:r>
      <w:proofErr w:type="gramEnd"/>
      <w:r w:rsidRPr="00396CDF">
        <w:rPr>
          <w:rFonts w:ascii="Times New Roman" w:hAnsi="Times New Roman" w:cs="Times New Roman"/>
        </w:rPr>
        <w:t xml:space="preserve"> </w:t>
      </w:r>
      <w:proofErr w:type="gramStart"/>
      <w:r w:rsidRPr="00396CDF">
        <w:rPr>
          <w:rFonts w:ascii="Times New Roman" w:hAnsi="Times New Roman" w:cs="Times New Roman"/>
        </w:rPr>
        <w:t>(Doctoral Dissertation, Old Dominion University).</w:t>
      </w:r>
      <w:proofErr w:type="gramEnd"/>
      <w:r w:rsidRPr="00396CDF">
        <w:rPr>
          <w:rFonts w:ascii="Times New Roman" w:hAnsi="Times New Roman" w:cs="Times New Roman"/>
        </w:rPr>
        <w:t xml:space="preserve"> Retrieved from ProQuest Dissertation &amp; Theses. </w:t>
      </w:r>
      <w:proofErr w:type="gramStart"/>
      <w:r w:rsidRPr="00396CDF">
        <w:rPr>
          <w:rFonts w:ascii="Times New Roman" w:hAnsi="Times New Roman" w:cs="Times New Roman"/>
        </w:rPr>
        <w:t>(UMI Dissertation 3405741).</w:t>
      </w:r>
      <w:proofErr w:type="gramEnd"/>
    </w:p>
    <w:p w14:paraId="4DC0D5B3" w14:textId="0F6CEA84" w:rsidR="00E23739" w:rsidRPr="00396CDF" w:rsidRDefault="00E23739" w:rsidP="00C73518">
      <w:pPr>
        <w:ind w:left="720" w:hanging="720"/>
        <w:rPr>
          <w:rFonts w:ascii="Times New Roman" w:hAnsi="Times New Roman" w:cs="Times New Roman"/>
          <w:color w:val="000000"/>
        </w:rPr>
      </w:pPr>
      <w:r w:rsidRPr="00396CDF">
        <w:rPr>
          <w:rFonts w:ascii="Times New Roman" w:hAnsi="Times New Roman" w:cs="Times New Roman"/>
          <w:color w:val="000000"/>
        </w:rPr>
        <w:t xml:space="preserve">Windham, P. (1997). </w:t>
      </w:r>
      <w:r w:rsidRPr="00396CDF">
        <w:rPr>
          <w:rFonts w:ascii="Times New Roman" w:hAnsi="Times New Roman" w:cs="Times New Roman"/>
          <w:i/>
          <w:color w:val="000000"/>
        </w:rPr>
        <w:t>High school and community college dual enrollment: Issues of rigor and transferability</w:t>
      </w:r>
      <w:r w:rsidRPr="00396CDF">
        <w:rPr>
          <w:rFonts w:ascii="Times New Roman" w:hAnsi="Times New Roman" w:cs="Times New Roman"/>
          <w:color w:val="000000"/>
        </w:rPr>
        <w:t xml:space="preserve">. Tallahassee, FL: Florida State Board of Education. </w:t>
      </w:r>
    </w:p>
    <w:p w14:paraId="1F2AFE14" w14:textId="77777777" w:rsidR="00C73518" w:rsidRPr="00396CDF" w:rsidRDefault="00C73518" w:rsidP="00E23739">
      <w:pPr>
        <w:ind w:left="720" w:hanging="720"/>
        <w:rPr>
          <w:rFonts w:ascii="Times New Roman" w:hAnsi="Times New Roman" w:cs="Times New Roman"/>
          <w:color w:val="000000"/>
        </w:rPr>
      </w:pPr>
    </w:p>
    <w:p w14:paraId="4329BFB3" w14:textId="688082B2" w:rsidR="0007377C" w:rsidRPr="00396CDF" w:rsidRDefault="0007377C" w:rsidP="00E23739">
      <w:pPr>
        <w:ind w:left="720" w:hanging="720"/>
        <w:rPr>
          <w:rFonts w:ascii="Times New Roman" w:hAnsi="Times New Roman" w:cs="Times New Roman"/>
        </w:rPr>
      </w:pPr>
      <w:proofErr w:type="gramStart"/>
      <w:r w:rsidRPr="00396CDF">
        <w:rPr>
          <w:rFonts w:ascii="Times New Roman" w:hAnsi="Times New Roman" w:cs="Times New Roman"/>
          <w:color w:val="000000"/>
        </w:rPr>
        <w:t>Yin, R. K. (2009).</w:t>
      </w:r>
      <w:proofErr w:type="gramEnd"/>
      <w:r w:rsidRPr="00396CDF">
        <w:rPr>
          <w:rFonts w:ascii="Times New Roman" w:hAnsi="Times New Roman" w:cs="Times New Roman"/>
          <w:color w:val="000000"/>
        </w:rPr>
        <w:t xml:space="preserve"> </w:t>
      </w:r>
      <w:r w:rsidRPr="00396CDF">
        <w:rPr>
          <w:rFonts w:ascii="Times New Roman" w:hAnsi="Times New Roman" w:cs="Times New Roman"/>
          <w:i/>
          <w:color w:val="000000"/>
        </w:rPr>
        <w:t>Case study research: Design and methods (4</w:t>
      </w:r>
      <w:r w:rsidRPr="00396CDF">
        <w:rPr>
          <w:rFonts w:ascii="Times New Roman" w:hAnsi="Times New Roman" w:cs="Times New Roman"/>
          <w:i/>
          <w:color w:val="000000"/>
          <w:vertAlign w:val="superscript"/>
        </w:rPr>
        <w:t>th</w:t>
      </w:r>
      <w:r w:rsidRPr="00396CDF">
        <w:rPr>
          <w:rFonts w:ascii="Times New Roman" w:hAnsi="Times New Roman" w:cs="Times New Roman"/>
          <w:i/>
          <w:color w:val="000000"/>
        </w:rPr>
        <w:t xml:space="preserve"> Ed)</w:t>
      </w:r>
      <w:r w:rsidRPr="00396CDF">
        <w:rPr>
          <w:rFonts w:ascii="Times New Roman" w:hAnsi="Times New Roman" w:cs="Times New Roman"/>
          <w:color w:val="000000"/>
        </w:rPr>
        <w:t xml:space="preserve">. Thousand Oaks, CA: Sage.  </w:t>
      </w:r>
    </w:p>
    <w:sectPr w:rsidR="0007377C" w:rsidRPr="00396CDF" w:rsidSect="00665D9B">
      <w:headerReference w:type="default"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ylor, Jason L" w:date="2013-12-05T08:26:00Z" w:initials="TJL">
    <w:p w14:paraId="1DA1A893" w14:textId="160644C3" w:rsidR="003334BB" w:rsidRDefault="003334BB">
      <w:pPr>
        <w:pStyle w:val="CommentText"/>
      </w:pPr>
      <w:r>
        <w:rPr>
          <w:rStyle w:val="CommentReference"/>
        </w:rPr>
        <w:annotationRef/>
      </w:r>
      <w:r>
        <w:t xml:space="preserve">Need this from each site.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A1A893" w15:done="0"/>
  <w15:commentEx w15:paraId="7429E82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F61B3" w14:textId="77777777" w:rsidR="003334BB" w:rsidRDefault="003334BB" w:rsidP="00310F5F">
      <w:r>
        <w:separator/>
      </w:r>
    </w:p>
  </w:endnote>
  <w:endnote w:type="continuationSeparator" w:id="0">
    <w:p w14:paraId="0BD93EE3" w14:textId="77777777" w:rsidR="003334BB" w:rsidRDefault="003334BB" w:rsidP="0031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ECE5D2" w14:textId="77777777" w:rsidR="003334BB" w:rsidRDefault="003334BB">
    <w:pPr>
      <w:pStyle w:val="Footer"/>
      <w:rPr>
        <w:rFonts w:ascii="Times New Roman" w:hAnsi="Times New Roman" w:cs="Times New Roman"/>
        <w:b/>
      </w:rPr>
    </w:pPr>
  </w:p>
  <w:p w14:paraId="79B17329" w14:textId="53A0DA18" w:rsidR="003334BB" w:rsidRPr="00310F5F" w:rsidRDefault="003334BB">
    <w:pPr>
      <w:pStyle w:val="Footer"/>
      <w:rPr>
        <w:rFonts w:ascii="Times New Roman" w:hAnsi="Times New Roman" w:cs="Times New Roman"/>
        <w:b/>
      </w:rPr>
    </w:pPr>
    <w:r w:rsidRPr="00310F5F">
      <w:rPr>
        <w:rFonts w:ascii="Times New Roman" w:hAnsi="Times New Roman" w:cs="Times New Roman"/>
        <w:b/>
      </w:rPr>
      <w:t>Prepared by Jason Taylor</w:t>
    </w:r>
  </w:p>
  <w:p w14:paraId="44FFC4A6" w14:textId="64EBC9BC" w:rsidR="003334BB" w:rsidRPr="00310F5F" w:rsidRDefault="003334BB">
    <w:pPr>
      <w:pStyle w:val="Footer"/>
      <w:rPr>
        <w:rFonts w:ascii="Times New Roman" w:hAnsi="Times New Roman" w:cs="Times New Roman"/>
        <w:b/>
      </w:rPr>
    </w:pPr>
    <w:r w:rsidRPr="00310F5F">
      <w:rPr>
        <w:rFonts w:ascii="Times New Roman" w:hAnsi="Times New Roman" w:cs="Times New Roman"/>
        <w:b/>
      </w:rPr>
      <w:t>DRAFT-</w:t>
    </w:r>
    <w:r w:rsidR="00AA3C73">
      <w:rPr>
        <w:rFonts w:ascii="Times New Roman" w:hAnsi="Times New Roman" w:cs="Times New Roman"/>
        <w:b/>
      </w:rPr>
      <w:t>Updated December 12, 2013</w:t>
    </w:r>
  </w:p>
  <w:p w14:paraId="21C5110E" w14:textId="77777777" w:rsidR="003334BB" w:rsidRDefault="003334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40DBB" w14:textId="77777777" w:rsidR="003334BB" w:rsidRDefault="003334BB" w:rsidP="00310F5F">
      <w:r>
        <w:separator/>
      </w:r>
    </w:p>
  </w:footnote>
  <w:footnote w:type="continuationSeparator" w:id="0">
    <w:p w14:paraId="68E4CC4E" w14:textId="77777777" w:rsidR="003334BB" w:rsidRDefault="003334BB" w:rsidP="00310F5F">
      <w:r>
        <w:continuationSeparator/>
      </w:r>
    </w:p>
  </w:footnote>
  <w:footnote w:id="1">
    <w:p w14:paraId="71E9B1D4" w14:textId="22A36A8B" w:rsidR="003334BB" w:rsidRDefault="003334BB">
      <w:pPr>
        <w:pStyle w:val="FootnoteText"/>
      </w:pPr>
      <w:r>
        <w:rPr>
          <w:rStyle w:val="FootnoteReference"/>
        </w:rPr>
        <w:footnoteRef/>
      </w:r>
      <w:r>
        <w:t xml:space="preserve"> Final sample size will vary depending on the institutions that commit to participate.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3F5048A" w14:textId="72764F7D" w:rsidR="003334BB" w:rsidRPr="00310F5F" w:rsidRDefault="00AA3C73">
    <w:pPr>
      <w:pStyle w:val="Header"/>
      <w:jc w:val="right"/>
      <w:rPr>
        <w:rFonts w:ascii="Times New Roman" w:hAnsi="Times New Roman" w:cs="Times New Roman"/>
      </w:rPr>
    </w:pPr>
    <w:sdt>
      <w:sdtPr>
        <w:rPr>
          <w:rFonts w:ascii="Times New Roman" w:hAnsi="Times New Roman" w:cs="Times New Roman"/>
        </w:rPr>
        <w:id w:val="2141758976"/>
        <w:docPartObj>
          <w:docPartGallery w:val="Watermarks"/>
          <w:docPartUnique/>
        </w:docPartObj>
      </w:sdtPr>
      <w:sdtEndPr>
        <w:rPr>
          <w:rFonts w:asciiTheme="minorHAnsi" w:hAnsiTheme="minorHAnsi" w:cstheme="minorBidi"/>
        </w:rPr>
      </w:sdtEndPr>
      <w:sdtContent>
        <w:r>
          <w:rPr>
            <w:noProof/>
          </w:rPr>
          <w:pict w14:anchorId="3694E0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1403" o:spid="_x0000_s2049" type="#_x0000_t136" style="position:absolute;left:0;text-align:left;margin-left:0;margin-top:0;width:380.7pt;height:228.4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sdtContent>
    </w:sdt>
    <w:sdt>
      <w:sdtPr>
        <w:id w:val="330026086"/>
        <w:docPartObj>
          <w:docPartGallery w:val="Page Numbers (Top of Page)"/>
          <w:docPartUnique/>
        </w:docPartObj>
      </w:sdtPr>
      <w:sdtEndPr>
        <w:rPr>
          <w:rFonts w:ascii="Times New Roman" w:hAnsi="Times New Roman" w:cs="Times New Roman"/>
          <w:noProof/>
        </w:rPr>
      </w:sdtEndPr>
      <w:sdtContent>
        <w:r w:rsidR="003334BB" w:rsidRPr="00310F5F">
          <w:rPr>
            <w:rFonts w:ascii="Times New Roman" w:hAnsi="Times New Roman" w:cs="Times New Roman"/>
          </w:rPr>
          <w:fldChar w:fldCharType="begin"/>
        </w:r>
        <w:r w:rsidR="003334BB" w:rsidRPr="00310F5F">
          <w:rPr>
            <w:rFonts w:ascii="Times New Roman" w:hAnsi="Times New Roman" w:cs="Times New Roman"/>
          </w:rPr>
          <w:instrText xml:space="preserve"> PAGE   \* MERGEFORMAT </w:instrText>
        </w:r>
        <w:r w:rsidR="003334BB" w:rsidRPr="00310F5F">
          <w:rPr>
            <w:rFonts w:ascii="Times New Roman" w:hAnsi="Times New Roman" w:cs="Times New Roman"/>
          </w:rPr>
          <w:fldChar w:fldCharType="separate"/>
        </w:r>
        <w:r>
          <w:rPr>
            <w:rFonts w:ascii="Times New Roman" w:hAnsi="Times New Roman" w:cs="Times New Roman"/>
            <w:noProof/>
          </w:rPr>
          <w:t>14</w:t>
        </w:r>
        <w:r w:rsidR="003334BB" w:rsidRPr="00310F5F">
          <w:rPr>
            <w:rFonts w:ascii="Times New Roman" w:hAnsi="Times New Roman" w:cs="Times New Roman"/>
            <w:noProof/>
          </w:rPr>
          <w:fldChar w:fldCharType="end"/>
        </w:r>
      </w:sdtContent>
    </w:sdt>
  </w:p>
  <w:p w14:paraId="23117A68" w14:textId="77777777" w:rsidR="003334BB" w:rsidRDefault="003334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A75"/>
    <w:multiLevelType w:val="hybridMultilevel"/>
    <w:tmpl w:val="151E639E"/>
    <w:lvl w:ilvl="0" w:tplc="707E1376">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B0F74"/>
    <w:multiLevelType w:val="hybridMultilevel"/>
    <w:tmpl w:val="EEB66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01B9D"/>
    <w:multiLevelType w:val="multilevel"/>
    <w:tmpl w:val="F332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93792"/>
    <w:multiLevelType w:val="hybridMultilevel"/>
    <w:tmpl w:val="313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424373"/>
    <w:multiLevelType w:val="hybridMultilevel"/>
    <w:tmpl w:val="A3C0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724FED"/>
    <w:multiLevelType w:val="hybridMultilevel"/>
    <w:tmpl w:val="E6828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C328C"/>
    <w:multiLevelType w:val="hybridMultilevel"/>
    <w:tmpl w:val="C78E1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21380"/>
    <w:multiLevelType w:val="hybridMultilevel"/>
    <w:tmpl w:val="9078BC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8329A"/>
    <w:multiLevelType w:val="hybridMultilevel"/>
    <w:tmpl w:val="D428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D369D"/>
    <w:multiLevelType w:val="hybridMultilevel"/>
    <w:tmpl w:val="CFAA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3"/>
  </w:num>
  <w:num w:numId="6">
    <w:abstractNumId w:val="9"/>
  </w:num>
  <w:num w:numId="7">
    <w:abstractNumId w:val="5"/>
  </w:num>
  <w:num w:numId="8">
    <w:abstractNumId w:val="2"/>
  </w:num>
  <w:num w:numId="9">
    <w:abstractNumId w:val="1"/>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ylor, Jason L">
    <w15:presenceInfo w15:providerId="AD" w15:userId="S-1-5-21-2509641344-1052565914-3260824488-5377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5E"/>
    <w:rsid w:val="00022B12"/>
    <w:rsid w:val="00050580"/>
    <w:rsid w:val="00057862"/>
    <w:rsid w:val="0007377C"/>
    <w:rsid w:val="0007602D"/>
    <w:rsid w:val="000819D6"/>
    <w:rsid w:val="00090863"/>
    <w:rsid w:val="00091C08"/>
    <w:rsid w:val="00092B64"/>
    <w:rsid w:val="000B4FF0"/>
    <w:rsid w:val="000B766B"/>
    <w:rsid w:val="000D660E"/>
    <w:rsid w:val="0014419E"/>
    <w:rsid w:val="00154492"/>
    <w:rsid w:val="001725A8"/>
    <w:rsid w:val="00172756"/>
    <w:rsid w:val="00180673"/>
    <w:rsid w:val="001823F5"/>
    <w:rsid w:val="00192825"/>
    <w:rsid w:val="0019394E"/>
    <w:rsid w:val="001A1EB6"/>
    <w:rsid w:val="001A2073"/>
    <w:rsid w:val="001B49CB"/>
    <w:rsid w:val="001B55F8"/>
    <w:rsid w:val="001D1DA3"/>
    <w:rsid w:val="001E2975"/>
    <w:rsid w:val="001E6AC6"/>
    <w:rsid w:val="001E74C3"/>
    <w:rsid w:val="001F5F3C"/>
    <w:rsid w:val="00214E98"/>
    <w:rsid w:val="00215487"/>
    <w:rsid w:val="00223919"/>
    <w:rsid w:val="00223FFF"/>
    <w:rsid w:val="00243D07"/>
    <w:rsid w:val="00265479"/>
    <w:rsid w:val="00266CFD"/>
    <w:rsid w:val="00275CC5"/>
    <w:rsid w:val="0028073A"/>
    <w:rsid w:val="002A3359"/>
    <w:rsid w:val="002B33AD"/>
    <w:rsid w:val="002C3E9D"/>
    <w:rsid w:val="002D2596"/>
    <w:rsid w:val="002D48BA"/>
    <w:rsid w:val="002D58F7"/>
    <w:rsid w:val="0030059D"/>
    <w:rsid w:val="00310F5F"/>
    <w:rsid w:val="0031556D"/>
    <w:rsid w:val="0031633F"/>
    <w:rsid w:val="00320460"/>
    <w:rsid w:val="003334BB"/>
    <w:rsid w:val="00341CDD"/>
    <w:rsid w:val="003663AE"/>
    <w:rsid w:val="00373007"/>
    <w:rsid w:val="00381FAE"/>
    <w:rsid w:val="00396CDF"/>
    <w:rsid w:val="003C33C1"/>
    <w:rsid w:val="003D481C"/>
    <w:rsid w:val="003E443D"/>
    <w:rsid w:val="003F6286"/>
    <w:rsid w:val="004332E2"/>
    <w:rsid w:val="00442E5D"/>
    <w:rsid w:val="0044614E"/>
    <w:rsid w:val="00456928"/>
    <w:rsid w:val="004752EB"/>
    <w:rsid w:val="0047713E"/>
    <w:rsid w:val="004810BA"/>
    <w:rsid w:val="00485A31"/>
    <w:rsid w:val="00491D3D"/>
    <w:rsid w:val="004A6F36"/>
    <w:rsid w:val="004A755F"/>
    <w:rsid w:val="004B75E6"/>
    <w:rsid w:val="004D214B"/>
    <w:rsid w:val="004F44CE"/>
    <w:rsid w:val="00504A0D"/>
    <w:rsid w:val="00524640"/>
    <w:rsid w:val="0054603F"/>
    <w:rsid w:val="00561236"/>
    <w:rsid w:val="005804D4"/>
    <w:rsid w:val="006201FE"/>
    <w:rsid w:val="00637AE3"/>
    <w:rsid w:val="0064557E"/>
    <w:rsid w:val="006527A5"/>
    <w:rsid w:val="00656B1E"/>
    <w:rsid w:val="00665D9B"/>
    <w:rsid w:val="0069290C"/>
    <w:rsid w:val="0069352C"/>
    <w:rsid w:val="006B7DD4"/>
    <w:rsid w:val="006E0B2A"/>
    <w:rsid w:val="00703D0F"/>
    <w:rsid w:val="00706377"/>
    <w:rsid w:val="00732B7E"/>
    <w:rsid w:val="007334ED"/>
    <w:rsid w:val="00744926"/>
    <w:rsid w:val="0076226A"/>
    <w:rsid w:val="00770186"/>
    <w:rsid w:val="00773CE9"/>
    <w:rsid w:val="007806F5"/>
    <w:rsid w:val="007858FF"/>
    <w:rsid w:val="00796B43"/>
    <w:rsid w:val="007B1FA0"/>
    <w:rsid w:val="007D258E"/>
    <w:rsid w:val="007D7E2E"/>
    <w:rsid w:val="0080058B"/>
    <w:rsid w:val="00801A06"/>
    <w:rsid w:val="00815CF8"/>
    <w:rsid w:val="008270B6"/>
    <w:rsid w:val="00833BAB"/>
    <w:rsid w:val="008379A5"/>
    <w:rsid w:val="00886960"/>
    <w:rsid w:val="0089191D"/>
    <w:rsid w:val="008B1414"/>
    <w:rsid w:val="008D1433"/>
    <w:rsid w:val="008D44E3"/>
    <w:rsid w:val="008F1A84"/>
    <w:rsid w:val="00917113"/>
    <w:rsid w:val="00935F8D"/>
    <w:rsid w:val="00961846"/>
    <w:rsid w:val="00962B55"/>
    <w:rsid w:val="009647E6"/>
    <w:rsid w:val="009728C3"/>
    <w:rsid w:val="0098085E"/>
    <w:rsid w:val="00991EF7"/>
    <w:rsid w:val="009A37D6"/>
    <w:rsid w:val="009D53DB"/>
    <w:rsid w:val="009F4C0C"/>
    <w:rsid w:val="00A11F48"/>
    <w:rsid w:val="00A21EB1"/>
    <w:rsid w:val="00A71667"/>
    <w:rsid w:val="00A855DF"/>
    <w:rsid w:val="00A93744"/>
    <w:rsid w:val="00AA3C73"/>
    <w:rsid w:val="00AC1C78"/>
    <w:rsid w:val="00AD0598"/>
    <w:rsid w:val="00AE20F9"/>
    <w:rsid w:val="00AE2C76"/>
    <w:rsid w:val="00AE3697"/>
    <w:rsid w:val="00AF68B9"/>
    <w:rsid w:val="00B077AF"/>
    <w:rsid w:val="00B272B5"/>
    <w:rsid w:val="00B544BD"/>
    <w:rsid w:val="00BA14A9"/>
    <w:rsid w:val="00BA4FF7"/>
    <w:rsid w:val="00BA578A"/>
    <w:rsid w:val="00BC0BA2"/>
    <w:rsid w:val="00BD45F2"/>
    <w:rsid w:val="00BF3092"/>
    <w:rsid w:val="00BF364E"/>
    <w:rsid w:val="00BF634D"/>
    <w:rsid w:val="00C4144A"/>
    <w:rsid w:val="00C4168F"/>
    <w:rsid w:val="00C4485A"/>
    <w:rsid w:val="00C6455B"/>
    <w:rsid w:val="00C7288E"/>
    <w:rsid w:val="00C73518"/>
    <w:rsid w:val="00C74FBF"/>
    <w:rsid w:val="00C80BA8"/>
    <w:rsid w:val="00C84CA3"/>
    <w:rsid w:val="00CA229A"/>
    <w:rsid w:val="00CA4178"/>
    <w:rsid w:val="00CB09B0"/>
    <w:rsid w:val="00CC2997"/>
    <w:rsid w:val="00CD1635"/>
    <w:rsid w:val="00CE0787"/>
    <w:rsid w:val="00CE2AFB"/>
    <w:rsid w:val="00CF6BAD"/>
    <w:rsid w:val="00D16AF6"/>
    <w:rsid w:val="00D3005B"/>
    <w:rsid w:val="00D31DC6"/>
    <w:rsid w:val="00D415C6"/>
    <w:rsid w:val="00D50FF7"/>
    <w:rsid w:val="00D7078E"/>
    <w:rsid w:val="00D71540"/>
    <w:rsid w:val="00D822FF"/>
    <w:rsid w:val="00DA0B88"/>
    <w:rsid w:val="00DA2DDB"/>
    <w:rsid w:val="00DA6A1C"/>
    <w:rsid w:val="00DC31E7"/>
    <w:rsid w:val="00DD4B58"/>
    <w:rsid w:val="00DE238A"/>
    <w:rsid w:val="00DE3366"/>
    <w:rsid w:val="00E03955"/>
    <w:rsid w:val="00E11CC9"/>
    <w:rsid w:val="00E22371"/>
    <w:rsid w:val="00E23739"/>
    <w:rsid w:val="00E40AB5"/>
    <w:rsid w:val="00E619F6"/>
    <w:rsid w:val="00E7214E"/>
    <w:rsid w:val="00E72288"/>
    <w:rsid w:val="00EA24D1"/>
    <w:rsid w:val="00EB16FF"/>
    <w:rsid w:val="00EC21ED"/>
    <w:rsid w:val="00EC5CA0"/>
    <w:rsid w:val="00EE3008"/>
    <w:rsid w:val="00EE781C"/>
    <w:rsid w:val="00F04A45"/>
    <w:rsid w:val="00F0623C"/>
    <w:rsid w:val="00F26D39"/>
    <w:rsid w:val="00F30B0C"/>
    <w:rsid w:val="00F379F2"/>
    <w:rsid w:val="00F41CB2"/>
    <w:rsid w:val="00F56F54"/>
    <w:rsid w:val="00F613CC"/>
    <w:rsid w:val="00F61EED"/>
    <w:rsid w:val="00F76308"/>
    <w:rsid w:val="00F77CF8"/>
    <w:rsid w:val="00F81911"/>
    <w:rsid w:val="00F851FA"/>
    <w:rsid w:val="00FA6A49"/>
    <w:rsid w:val="00FB14F4"/>
    <w:rsid w:val="00FB2DE8"/>
    <w:rsid w:val="00FC79B2"/>
    <w:rsid w:val="00FD1FF2"/>
    <w:rsid w:val="00FE67A3"/>
    <w:rsid w:val="00FE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6A8E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64"/>
    <w:pPr>
      <w:ind w:left="720"/>
      <w:contextualSpacing/>
    </w:pPr>
  </w:style>
  <w:style w:type="character" w:styleId="CommentReference">
    <w:name w:val="annotation reference"/>
    <w:basedOn w:val="DefaultParagraphFont"/>
    <w:uiPriority w:val="99"/>
    <w:semiHidden/>
    <w:unhideWhenUsed/>
    <w:rsid w:val="009728C3"/>
    <w:rPr>
      <w:sz w:val="18"/>
      <w:szCs w:val="18"/>
    </w:rPr>
  </w:style>
  <w:style w:type="paragraph" w:styleId="CommentText">
    <w:name w:val="annotation text"/>
    <w:basedOn w:val="Normal"/>
    <w:link w:val="CommentTextChar"/>
    <w:uiPriority w:val="99"/>
    <w:semiHidden/>
    <w:unhideWhenUsed/>
    <w:rsid w:val="009728C3"/>
  </w:style>
  <w:style w:type="character" w:customStyle="1" w:styleId="CommentTextChar">
    <w:name w:val="Comment Text Char"/>
    <w:basedOn w:val="DefaultParagraphFont"/>
    <w:link w:val="CommentText"/>
    <w:uiPriority w:val="99"/>
    <w:semiHidden/>
    <w:rsid w:val="009728C3"/>
  </w:style>
  <w:style w:type="paragraph" w:styleId="CommentSubject">
    <w:name w:val="annotation subject"/>
    <w:basedOn w:val="CommentText"/>
    <w:next w:val="CommentText"/>
    <w:link w:val="CommentSubjectChar"/>
    <w:uiPriority w:val="99"/>
    <w:semiHidden/>
    <w:unhideWhenUsed/>
    <w:rsid w:val="009728C3"/>
    <w:rPr>
      <w:b/>
      <w:bCs/>
      <w:sz w:val="20"/>
      <w:szCs w:val="20"/>
    </w:rPr>
  </w:style>
  <w:style w:type="character" w:customStyle="1" w:styleId="CommentSubjectChar">
    <w:name w:val="Comment Subject Char"/>
    <w:basedOn w:val="CommentTextChar"/>
    <w:link w:val="CommentSubject"/>
    <w:uiPriority w:val="99"/>
    <w:semiHidden/>
    <w:rsid w:val="009728C3"/>
    <w:rPr>
      <w:b/>
      <w:bCs/>
      <w:sz w:val="20"/>
      <w:szCs w:val="20"/>
    </w:rPr>
  </w:style>
  <w:style w:type="paragraph" w:styleId="BalloonText">
    <w:name w:val="Balloon Text"/>
    <w:basedOn w:val="Normal"/>
    <w:link w:val="BalloonTextChar"/>
    <w:uiPriority w:val="99"/>
    <w:semiHidden/>
    <w:unhideWhenUsed/>
    <w:rsid w:val="00972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8C3"/>
    <w:rPr>
      <w:rFonts w:ascii="Lucida Grande" w:hAnsi="Lucida Grande" w:cs="Lucida Grande"/>
      <w:sz w:val="18"/>
      <w:szCs w:val="18"/>
    </w:rPr>
  </w:style>
  <w:style w:type="table" w:styleId="TableGrid">
    <w:name w:val="Table Grid"/>
    <w:basedOn w:val="TableNormal"/>
    <w:uiPriority w:val="5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0F5F"/>
    <w:pPr>
      <w:tabs>
        <w:tab w:val="center" w:pos="4680"/>
        <w:tab w:val="right" w:pos="9360"/>
      </w:tabs>
    </w:pPr>
  </w:style>
  <w:style w:type="character" w:customStyle="1" w:styleId="HeaderChar">
    <w:name w:val="Header Char"/>
    <w:basedOn w:val="DefaultParagraphFont"/>
    <w:link w:val="Header"/>
    <w:uiPriority w:val="99"/>
    <w:rsid w:val="00310F5F"/>
  </w:style>
  <w:style w:type="paragraph" w:styleId="Footer">
    <w:name w:val="footer"/>
    <w:basedOn w:val="Normal"/>
    <w:link w:val="FooterChar"/>
    <w:uiPriority w:val="99"/>
    <w:unhideWhenUsed/>
    <w:rsid w:val="00310F5F"/>
    <w:pPr>
      <w:tabs>
        <w:tab w:val="center" w:pos="4680"/>
        <w:tab w:val="right" w:pos="9360"/>
      </w:tabs>
    </w:pPr>
  </w:style>
  <w:style w:type="character" w:customStyle="1" w:styleId="FooterChar">
    <w:name w:val="Footer Char"/>
    <w:basedOn w:val="DefaultParagraphFont"/>
    <w:link w:val="Footer"/>
    <w:uiPriority w:val="99"/>
    <w:rsid w:val="00310F5F"/>
  </w:style>
  <w:style w:type="paragraph" w:styleId="FootnoteText">
    <w:name w:val="footnote text"/>
    <w:basedOn w:val="Normal"/>
    <w:link w:val="FootnoteTextChar"/>
    <w:uiPriority w:val="99"/>
    <w:semiHidden/>
    <w:unhideWhenUsed/>
    <w:rsid w:val="00C84CA3"/>
    <w:rPr>
      <w:sz w:val="20"/>
      <w:szCs w:val="20"/>
    </w:rPr>
  </w:style>
  <w:style w:type="character" w:customStyle="1" w:styleId="FootnoteTextChar">
    <w:name w:val="Footnote Text Char"/>
    <w:basedOn w:val="DefaultParagraphFont"/>
    <w:link w:val="FootnoteText"/>
    <w:uiPriority w:val="99"/>
    <w:semiHidden/>
    <w:rsid w:val="00C84CA3"/>
    <w:rPr>
      <w:sz w:val="20"/>
      <w:szCs w:val="20"/>
    </w:rPr>
  </w:style>
  <w:style w:type="character" w:styleId="FootnoteReference">
    <w:name w:val="footnote reference"/>
    <w:basedOn w:val="DefaultParagraphFont"/>
    <w:uiPriority w:val="99"/>
    <w:semiHidden/>
    <w:unhideWhenUsed/>
    <w:rsid w:val="00C84CA3"/>
    <w:rPr>
      <w:vertAlign w:val="superscript"/>
    </w:rPr>
  </w:style>
  <w:style w:type="paragraph" w:customStyle="1" w:styleId="Default">
    <w:name w:val="Default"/>
    <w:rsid w:val="00DE238A"/>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1D1D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64"/>
    <w:pPr>
      <w:ind w:left="720"/>
      <w:contextualSpacing/>
    </w:pPr>
  </w:style>
  <w:style w:type="character" w:styleId="CommentReference">
    <w:name w:val="annotation reference"/>
    <w:basedOn w:val="DefaultParagraphFont"/>
    <w:uiPriority w:val="99"/>
    <w:semiHidden/>
    <w:unhideWhenUsed/>
    <w:rsid w:val="009728C3"/>
    <w:rPr>
      <w:sz w:val="18"/>
      <w:szCs w:val="18"/>
    </w:rPr>
  </w:style>
  <w:style w:type="paragraph" w:styleId="CommentText">
    <w:name w:val="annotation text"/>
    <w:basedOn w:val="Normal"/>
    <w:link w:val="CommentTextChar"/>
    <w:uiPriority w:val="99"/>
    <w:semiHidden/>
    <w:unhideWhenUsed/>
    <w:rsid w:val="009728C3"/>
  </w:style>
  <w:style w:type="character" w:customStyle="1" w:styleId="CommentTextChar">
    <w:name w:val="Comment Text Char"/>
    <w:basedOn w:val="DefaultParagraphFont"/>
    <w:link w:val="CommentText"/>
    <w:uiPriority w:val="99"/>
    <w:semiHidden/>
    <w:rsid w:val="009728C3"/>
  </w:style>
  <w:style w:type="paragraph" w:styleId="CommentSubject">
    <w:name w:val="annotation subject"/>
    <w:basedOn w:val="CommentText"/>
    <w:next w:val="CommentText"/>
    <w:link w:val="CommentSubjectChar"/>
    <w:uiPriority w:val="99"/>
    <w:semiHidden/>
    <w:unhideWhenUsed/>
    <w:rsid w:val="009728C3"/>
    <w:rPr>
      <w:b/>
      <w:bCs/>
      <w:sz w:val="20"/>
      <w:szCs w:val="20"/>
    </w:rPr>
  </w:style>
  <w:style w:type="character" w:customStyle="1" w:styleId="CommentSubjectChar">
    <w:name w:val="Comment Subject Char"/>
    <w:basedOn w:val="CommentTextChar"/>
    <w:link w:val="CommentSubject"/>
    <w:uiPriority w:val="99"/>
    <w:semiHidden/>
    <w:rsid w:val="009728C3"/>
    <w:rPr>
      <w:b/>
      <w:bCs/>
      <w:sz w:val="20"/>
      <w:szCs w:val="20"/>
    </w:rPr>
  </w:style>
  <w:style w:type="paragraph" w:styleId="BalloonText">
    <w:name w:val="Balloon Text"/>
    <w:basedOn w:val="Normal"/>
    <w:link w:val="BalloonTextChar"/>
    <w:uiPriority w:val="99"/>
    <w:semiHidden/>
    <w:unhideWhenUsed/>
    <w:rsid w:val="00972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8C3"/>
    <w:rPr>
      <w:rFonts w:ascii="Lucida Grande" w:hAnsi="Lucida Grande" w:cs="Lucida Grande"/>
      <w:sz w:val="18"/>
      <w:szCs w:val="18"/>
    </w:rPr>
  </w:style>
  <w:style w:type="table" w:styleId="TableGrid">
    <w:name w:val="Table Grid"/>
    <w:basedOn w:val="TableNormal"/>
    <w:uiPriority w:val="59"/>
    <w:rsid w:val="00645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0F5F"/>
    <w:pPr>
      <w:tabs>
        <w:tab w:val="center" w:pos="4680"/>
        <w:tab w:val="right" w:pos="9360"/>
      </w:tabs>
    </w:pPr>
  </w:style>
  <w:style w:type="character" w:customStyle="1" w:styleId="HeaderChar">
    <w:name w:val="Header Char"/>
    <w:basedOn w:val="DefaultParagraphFont"/>
    <w:link w:val="Header"/>
    <w:uiPriority w:val="99"/>
    <w:rsid w:val="00310F5F"/>
  </w:style>
  <w:style w:type="paragraph" w:styleId="Footer">
    <w:name w:val="footer"/>
    <w:basedOn w:val="Normal"/>
    <w:link w:val="FooterChar"/>
    <w:uiPriority w:val="99"/>
    <w:unhideWhenUsed/>
    <w:rsid w:val="00310F5F"/>
    <w:pPr>
      <w:tabs>
        <w:tab w:val="center" w:pos="4680"/>
        <w:tab w:val="right" w:pos="9360"/>
      </w:tabs>
    </w:pPr>
  </w:style>
  <w:style w:type="character" w:customStyle="1" w:styleId="FooterChar">
    <w:name w:val="Footer Char"/>
    <w:basedOn w:val="DefaultParagraphFont"/>
    <w:link w:val="Footer"/>
    <w:uiPriority w:val="99"/>
    <w:rsid w:val="00310F5F"/>
  </w:style>
  <w:style w:type="paragraph" w:styleId="FootnoteText">
    <w:name w:val="footnote text"/>
    <w:basedOn w:val="Normal"/>
    <w:link w:val="FootnoteTextChar"/>
    <w:uiPriority w:val="99"/>
    <w:semiHidden/>
    <w:unhideWhenUsed/>
    <w:rsid w:val="00C84CA3"/>
    <w:rPr>
      <w:sz w:val="20"/>
      <w:szCs w:val="20"/>
    </w:rPr>
  </w:style>
  <w:style w:type="character" w:customStyle="1" w:styleId="FootnoteTextChar">
    <w:name w:val="Footnote Text Char"/>
    <w:basedOn w:val="DefaultParagraphFont"/>
    <w:link w:val="FootnoteText"/>
    <w:uiPriority w:val="99"/>
    <w:semiHidden/>
    <w:rsid w:val="00C84CA3"/>
    <w:rPr>
      <w:sz w:val="20"/>
      <w:szCs w:val="20"/>
    </w:rPr>
  </w:style>
  <w:style w:type="character" w:styleId="FootnoteReference">
    <w:name w:val="footnote reference"/>
    <w:basedOn w:val="DefaultParagraphFont"/>
    <w:uiPriority w:val="99"/>
    <w:semiHidden/>
    <w:unhideWhenUsed/>
    <w:rsid w:val="00C84CA3"/>
    <w:rPr>
      <w:vertAlign w:val="superscript"/>
    </w:rPr>
  </w:style>
  <w:style w:type="paragraph" w:customStyle="1" w:styleId="Default">
    <w:name w:val="Default"/>
    <w:rsid w:val="00DE238A"/>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1D1D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10673">
      <w:bodyDiv w:val="1"/>
      <w:marLeft w:val="0"/>
      <w:marRight w:val="0"/>
      <w:marTop w:val="0"/>
      <w:marBottom w:val="0"/>
      <w:divBdr>
        <w:top w:val="none" w:sz="0" w:space="0" w:color="auto"/>
        <w:left w:val="none" w:sz="0" w:space="0" w:color="auto"/>
        <w:bottom w:val="none" w:sz="0" w:space="0" w:color="auto"/>
        <w:right w:val="none" w:sz="0" w:space="0" w:color="auto"/>
      </w:divBdr>
    </w:div>
    <w:div w:id="211801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20"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j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4AD6-914D-0043-B58D-92249E25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6488</Words>
  <Characters>36984</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cp:keywords/>
  <dc:description/>
  <cp:lastModifiedBy>Jason Taylor</cp:lastModifiedBy>
  <cp:revision>5</cp:revision>
  <dcterms:created xsi:type="dcterms:W3CDTF">2013-12-13T00:17:00Z</dcterms:created>
  <dcterms:modified xsi:type="dcterms:W3CDTF">2013-12-13T04:12:00Z</dcterms:modified>
</cp:coreProperties>
</file>